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575" w:rsidRDefault="000039E9">
      <w:pPr>
        <w:jc w:val="center"/>
        <w:rPr>
          <w:b/>
          <w:sz w:val="28"/>
          <w:szCs w:val="28"/>
        </w:rPr>
      </w:pPr>
      <w:r>
        <w:rPr>
          <w:b/>
          <w:sz w:val="28"/>
          <w:szCs w:val="28"/>
        </w:rPr>
        <w:t>SERVICE CONTRACT NOTICE</w:t>
      </w:r>
    </w:p>
    <w:p w:rsidR="00067575" w:rsidRDefault="000039E9">
      <w:pPr>
        <w:jc w:val="center"/>
        <w:rPr>
          <w:b/>
          <w:sz w:val="22"/>
          <w:szCs w:val="22"/>
          <w:highlight w:val="yellow"/>
        </w:rPr>
      </w:pPr>
      <w:r>
        <w:rPr>
          <w:b/>
          <w:color w:val="000000"/>
          <w:sz w:val="22"/>
          <w:szCs w:val="22"/>
        </w:rPr>
        <w:t>INVITATION TO TENDER</w:t>
      </w:r>
      <w:r>
        <w:rPr>
          <w:b/>
          <w:sz w:val="22"/>
          <w:szCs w:val="22"/>
        </w:rPr>
        <w:t xml:space="preserve"> FOR MARKETING AND SOCIAL MEDIA CAMPAIGN, KOSOVO*</w:t>
      </w:r>
    </w:p>
    <w:p w:rsidR="00067575" w:rsidRDefault="00067575">
      <w:pPr>
        <w:ind w:left="709" w:hanging="349"/>
        <w:rPr>
          <w:b/>
          <w:sz w:val="22"/>
          <w:szCs w:val="22"/>
        </w:rPr>
      </w:pPr>
    </w:p>
    <w:p w:rsidR="00067575" w:rsidRDefault="000039E9">
      <w:pPr>
        <w:ind w:left="709" w:hanging="349"/>
        <w:rPr>
          <w:sz w:val="22"/>
          <w:szCs w:val="22"/>
        </w:rPr>
      </w:pPr>
      <w:r>
        <w:rPr>
          <w:b/>
          <w:sz w:val="22"/>
          <w:szCs w:val="22"/>
        </w:rPr>
        <w:t>1.</w:t>
      </w:r>
      <w:r>
        <w:rPr>
          <w:b/>
          <w:sz w:val="22"/>
          <w:szCs w:val="22"/>
        </w:rPr>
        <w:tab/>
        <w:t>Reference</w:t>
      </w:r>
    </w:p>
    <w:p w:rsidR="00067575" w:rsidRDefault="000039E9">
      <w:pPr>
        <w:ind w:left="709" w:hanging="349"/>
        <w:rPr>
          <w:b/>
          <w:sz w:val="22"/>
          <w:szCs w:val="22"/>
        </w:rPr>
      </w:pPr>
      <w:r>
        <w:rPr>
          <w:sz w:val="22"/>
          <w:szCs w:val="22"/>
        </w:rPr>
        <w:t>TD/2022/441-515/SE02/CB</w:t>
      </w:r>
    </w:p>
    <w:p w:rsidR="00067575" w:rsidRDefault="000039E9">
      <w:pPr>
        <w:ind w:left="709" w:hanging="349"/>
        <w:rPr>
          <w:sz w:val="22"/>
          <w:szCs w:val="22"/>
        </w:rPr>
      </w:pPr>
      <w:r>
        <w:rPr>
          <w:b/>
          <w:sz w:val="22"/>
          <w:szCs w:val="22"/>
        </w:rPr>
        <w:t xml:space="preserve">2. </w:t>
      </w:r>
      <w:r>
        <w:rPr>
          <w:b/>
          <w:sz w:val="22"/>
          <w:szCs w:val="22"/>
        </w:rPr>
        <w:tab/>
        <w:t>Procedure</w:t>
      </w:r>
    </w:p>
    <w:p w:rsidR="00067575" w:rsidRDefault="000039E9">
      <w:pPr>
        <w:pBdr>
          <w:top w:val="nil"/>
          <w:left w:val="nil"/>
          <w:bottom w:val="nil"/>
          <w:right w:val="nil"/>
          <w:between w:val="nil"/>
        </w:pBdr>
        <w:ind w:right="360"/>
        <w:jc w:val="both"/>
        <w:rPr>
          <w:color w:val="000000"/>
          <w:sz w:val="22"/>
          <w:szCs w:val="22"/>
        </w:rPr>
      </w:pPr>
      <w:r>
        <w:rPr>
          <w:color w:val="000000"/>
          <w:sz w:val="22"/>
          <w:szCs w:val="22"/>
        </w:rPr>
        <w:t xml:space="preserve">       Single tender</w:t>
      </w:r>
    </w:p>
    <w:p w:rsidR="00067575" w:rsidRDefault="000039E9">
      <w:pPr>
        <w:ind w:left="709" w:hanging="349"/>
        <w:rPr>
          <w:b/>
          <w:sz w:val="22"/>
          <w:szCs w:val="22"/>
        </w:rPr>
      </w:pPr>
      <w:r>
        <w:rPr>
          <w:b/>
          <w:sz w:val="22"/>
          <w:szCs w:val="22"/>
        </w:rPr>
        <w:t xml:space="preserve">3. </w:t>
      </w:r>
      <w:r>
        <w:rPr>
          <w:b/>
          <w:sz w:val="22"/>
          <w:szCs w:val="22"/>
        </w:rPr>
        <w:tab/>
      </w:r>
      <w:proofErr w:type="spellStart"/>
      <w:r>
        <w:rPr>
          <w:b/>
          <w:sz w:val="22"/>
          <w:szCs w:val="22"/>
        </w:rPr>
        <w:t>Programme</w:t>
      </w:r>
      <w:proofErr w:type="spellEnd"/>
      <w:r>
        <w:rPr>
          <w:b/>
          <w:sz w:val="22"/>
          <w:szCs w:val="22"/>
        </w:rPr>
        <w:t xml:space="preserve"> title</w:t>
      </w:r>
    </w:p>
    <w:p w:rsidR="00067575" w:rsidRDefault="000039E9">
      <w:pPr>
        <w:pBdr>
          <w:top w:val="nil"/>
          <w:left w:val="nil"/>
          <w:bottom w:val="nil"/>
          <w:right w:val="nil"/>
          <w:between w:val="nil"/>
        </w:pBdr>
        <w:ind w:right="357"/>
        <w:rPr>
          <w:sz w:val="22"/>
          <w:szCs w:val="22"/>
        </w:rPr>
      </w:pPr>
      <w:r>
        <w:rPr>
          <w:sz w:val="22"/>
          <w:szCs w:val="22"/>
        </w:rPr>
        <w:t xml:space="preserve">       EuropeAid/174154/DH/ACT/Multi</w:t>
      </w:r>
    </w:p>
    <w:p w:rsidR="00067575" w:rsidRDefault="000039E9">
      <w:pPr>
        <w:ind w:left="709" w:hanging="349"/>
        <w:rPr>
          <w:sz w:val="22"/>
          <w:szCs w:val="22"/>
        </w:rPr>
      </w:pPr>
      <w:r>
        <w:rPr>
          <w:b/>
          <w:sz w:val="22"/>
          <w:szCs w:val="22"/>
        </w:rPr>
        <w:t xml:space="preserve">4. </w:t>
      </w:r>
      <w:r>
        <w:rPr>
          <w:b/>
          <w:sz w:val="22"/>
          <w:szCs w:val="22"/>
        </w:rPr>
        <w:tab/>
        <w:t>Financing</w:t>
      </w:r>
    </w:p>
    <w:p w:rsidR="00067575" w:rsidRDefault="000039E9">
      <w:pPr>
        <w:pBdr>
          <w:top w:val="nil"/>
          <w:left w:val="nil"/>
          <w:bottom w:val="nil"/>
          <w:right w:val="nil"/>
          <w:between w:val="nil"/>
        </w:pBdr>
        <w:ind w:left="360" w:right="360"/>
        <w:jc w:val="both"/>
        <w:rPr>
          <w:color w:val="000000"/>
          <w:sz w:val="22"/>
          <w:szCs w:val="22"/>
        </w:rPr>
      </w:pPr>
      <w:r>
        <w:rPr>
          <w:color w:val="000000"/>
          <w:sz w:val="22"/>
          <w:szCs w:val="22"/>
        </w:rPr>
        <w:t xml:space="preserve">Budget line </w:t>
      </w:r>
    </w:p>
    <w:p w:rsidR="00067575" w:rsidRDefault="000039E9">
      <w:pPr>
        <w:ind w:left="709" w:hanging="349"/>
        <w:rPr>
          <w:sz w:val="22"/>
          <w:szCs w:val="22"/>
        </w:rPr>
      </w:pPr>
      <w:r>
        <w:rPr>
          <w:b/>
          <w:sz w:val="22"/>
          <w:szCs w:val="22"/>
        </w:rPr>
        <w:t xml:space="preserve">5. </w:t>
      </w:r>
      <w:r>
        <w:rPr>
          <w:b/>
          <w:sz w:val="22"/>
          <w:szCs w:val="22"/>
        </w:rPr>
        <w:tab/>
      </w:r>
      <w:r>
        <w:rPr>
          <w:b/>
          <w:sz w:val="22"/>
          <w:szCs w:val="22"/>
        </w:rPr>
        <w:t>Contracting authority</w:t>
      </w:r>
    </w:p>
    <w:p w:rsidR="00067575" w:rsidRDefault="000039E9">
      <w:pPr>
        <w:ind w:left="357" w:right="357"/>
        <w:jc w:val="both"/>
        <w:rPr>
          <w:sz w:val="22"/>
          <w:szCs w:val="22"/>
        </w:rPr>
      </w:pPr>
      <w:r>
        <w:rPr>
          <w:sz w:val="22"/>
          <w:szCs w:val="22"/>
        </w:rPr>
        <w:t>SIT - Center for Counseling, Social Services and Research</w:t>
      </w:r>
    </w:p>
    <w:p w:rsidR="00067575" w:rsidRDefault="000039E9">
      <w:pPr>
        <w:ind w:left="357" w:right="357"/>
        <w:jc w:val="both"/>
        <w:rPr>
          <w:sz w:val="22"/>
          <w:szCs w:val="22"/>
        </w:rPr>
      </w:pPr>
      <w:r>
        <w:rPr>
          <w:sz w:val="22"/>
          <w:szCs w:val="22"/>
        </w:rPr>
        <w:t xml:space="preserve">St. </w:t>
      </w:r>
      <w:proofErr w:type="spellStart"/>
      <w:r>
        <w:rPr>
          <w:sz w:val="22"/>
          <w:szCs w:val="22"/>
        </w:rPr>
        <w:t>Bedri</w:t>
      </w:r>
      <w:proofErr w:type="spellEnd"/>
      <w:r>
        <w:rPr>
          <w:sz w:val="22"/>
          <w:szCs w:val="22"/>
        </w:rPr>
        <w:t xml:space="preserve"> </w:t>
      </w:r>
      <w:proofErr w:type="spellStart"/>
      <w:r>
        <w:rPr>
          <w:sz w:val="22"/>
          <w:szCs w:val="22"/>
        </w:rPr>
        <w:t>Pejani</w:t>
      </w:r>
      <w:proofErr w:type="spellEnd"/>
      <w:r>
        <w:rPr>
          <w:sz w:val="22"/>
          <w:szCs w:val="22"/>
        </w:rPr>
        <w:t>, No.33</w:t>
      </w:r>
    </w:p>
    <w:p w:rsidR="00067575" w:rsidRDefault="000039E9">
      <w:pPr>
        <w:ind w:left="357" w:right="357"/>
        <w:jc w:val="both"/>
        <w:rPr>
          <w:sz w:val="22"/>
          <w:szCs w:val="22"/>
        </w:rPr>
      </w:pPr>
      <w:r>
        <w:rPr>
          <w:sz w:val="22"/>
          <w:szCs w:val="22"/>
        </w:rPr>
        <w:t xml:space="preserve">10000 </w:t>
      </w:r>
      <w:proofErr w:type="spellStart"/>
      <w:r>
        <w:rPr>
          <w:sz w:val="22"/>
          <w:szCs w:val="22"/>
        </w:rPr>
        <w:t>Prishtine</w:t>
      </w:r>
      <w:proofErr w:type="spellEnd"/>
      <w:r>
        <w:rPr>
          <w:sz w:val="22"/>
          <w:szCs w:val="22"/>
        </w:rPr>
        <w:t>, Kosovo*</w:t>
      </w:r>
    </w:p>
    <w:p w:rsidR="00067575" w:rsidRDefault="000039E9">
      <w:pPr>
        <w:rPr>
          <w:sz w:val="22"/>
          <w:szCs w:val="22"/>
        </w:rPr>
      </w:pPr>
      <w:r>
        <w:rPr>
          <w:noProof/>
        </w:rPr>
        <mc:AlternateContent>
          <mc:Choice Requires="wps">
            <w:drawing>
              <wp:anchor distT="0" distB="0" distL="114300" distR="114300" simplePos="0" relativeHeight="251658240" behindDoc="0" locked="0" layoutInCell="1" hidden="0" allowOverlap="1">
                <wp:simplePos x="0" y="0"/>
                <wp:positionH relativeFrom="column">
                  <wp:posOffset>1</wp:posOffset>
                </wp:positionH>
                <wp:positionV relativeFrom="paragraph">
                  <wp:posOffset>139700</wp:posOffset>
                </wp:positionV>
                <wp:extent cx="635" cy="22225"/>
                <wp:effectExtent l="0" t="0" r="0" b="0"/>
                <wp:wrapNone/>
                <wp:docPr id="18" name="Straight Arrow Connector 18"/>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635" cy="22225"/>
                <wp:effectExtent b="0" l="0" r="0" t="0"/>
                <wp:wrapNone/>
                <wp:docPr id="18"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635" cy="22225"/>
                        </a:xfrm>
                        <a:prstGeom prst="rect"/>
                        <a:ln/>
                      </pic:spPr>
                    </pic:pic>
                  </a:graphicData>
                </a:graphic>
              </wp:anchor>
            </w:drawing>
          </mc:Fallback>
        </mc:AlternateContent>
      </w:r>
    </w:p>
    <w:p w:rsidR="00067575" w:rsidRDefault="000039E9">
      <w:pPr>
        <w:jc w:val="center"/>
        <w:rPr>
          <w:sz w:val="28"/>
          <w:szCs w:val="28"/>
        </w:rPr>
      </w:pPr>
      <w:r>
        <w:rPr>
          <w:b/>
          <w:sz w:val="28"/>
          <w:szCs w:val="28"/>
        </w:rPr>
        <w:t>CONTRACT SPECIFICATION</w:t>
      </w:r>
    </w:p>
    <w:p w:rsidR="00067575" w:rsidRDefault="000039E9">
      <w:pPr>
        <w:ind w:left="709" w:hanging="349"/>
        <w:rPr>
          <w:sz w:val="22"/>
          <w:szCs w:val="22"/>
        </w:rPr>
      </w:pPr>
      <w:r>
        <w:rPr>
          <w:b/>
          <w:sz w:val="22"/>
          <w:szCs w:val="22"/>
        </w:rPr>
        <w:t xml:space="preserve">6. </w:t>
      </w:r>
      <w:r>
        <w:rPr>
          <w:b/>
          <w:sz w:val="22"/>
          <w:szCs w:val="22"/>
        </w:rPr>
        <w:tab/>
        <w:t>Nature of contract</w:t>
      </w:r>
    </w:p>
    <w:p w:rsidR="00067575" w:rsidRDefault="000039E9">
      <w:pPr>
        <w:pBdr>
          <w:top w:val="nil"/>
          <w:left w:val="nil"/>
          <w:bottom w:val="nil"/>
          <w:right w:val="nil"/>
          <w:between w:val="nil"/>
        </w:pBdr>
        <w:ind w:left="360" w:right="360"/>
        <w:jc w:val="both"/>
        <w:rPr>
          <w:i/>
          <w:color w:val="000000"/>
          <w:sz w:val="22"/>
          <w:szCs w:val="22"/>
        </w:rPr>
      </w:pPr>
      <w:r>
        <w:rPr>
          <w:color w:val="000000"/>
          <w:sz w:val="22"/>
          <w:szCs w:val="22"/>
        </w:rPr>
        <w:t>Global price</w:t>
      </w:r>
    </w:p>
    <w:p w:rsidR="00067575" w:rsidRDefault="000039E9">
      <w:pPr>
        <w:ind w:left="709" w:hanging="352"/>
        <w:rPr>
          <w:sz w:val="22"/>
          <w:szCs w:val="22"/>
        </w:rPr>
      </w:pPr>
      <w:r>
        <w:rPr>
          <w:b/>
          <w:sz w:val="22"/>
          <w:szCs w:val="22"/>
        </w:rPr>
        <w:t xml:space="preserve">7. </w:t>
      </w:r>
      <w:r>
        <w:rPr>
          <w:b/>
          <w:sz w:val="22"/>
          <w:szCs w:val="22"/>
        </w:rPr>
        <w:tab/>
        <w:t>Contract description</w:t>
      </w:r>
    </w:p>
    <w:p w:rsidR="00067575" w:rsidRDefault="000039E9">
      <w:pPr>
        <w:widowControl/>
        <w:ind w:left="357" w:hanging="2"/>
        <w:jc w:val="both"/>
        <w:rPr>
          <w:color w:val="000000"/>
          <w:sz w:val="22"/>
          <w:szCs w:val="22"/>
        </w:rPr>
      </w:pPr>
      <w:r>
        <w:rPr>
          <w:sz w:val="22"/>
          <w:szCs w:val="22"/>
        </w:rPr>
        <w:t>In order to promote innovative youth work</w:t>
      </w:r>
      <w:r>
        <w:rPr>
          <w:sz w:val="22"/>
          <w:szCs w:val="22"/>
        </w:rPr>
        <w:t xml:space="preserve"> outreach methodology on addressing gender equality and to ensure visibility of this model on national level, main purpose of this contract will be creating adequate promotion campaigns on social media (</w:t>
      </w:r>
      <w:r w:rsidR="005308E2">
        <w:rPr>
          <w:sz w:val="22"/>
          <w:szCs w:val="22"/>
        </w:rPr>
        <w:t>Facebook</w:t>
      </w:r>
      <w:r>
        <w:rPr>
          <w:sz w:val="22"/>
          <w:szCs w:val="22"/>
        </w:rPr>
        <w:t xml:space="preserve">, </w:t>
      </w:r>
      <w:proofErr w:type="spellStart"/>
      <w:r>
        <w:rPr>
          <w:sz w:val="22"/>
          <w:szCs w:val="22"/>
        </w:rPr>
        <w:t>TikTok</w:t>
      </w:r>
      <w:proofErr w:type="spellEnd"/>
      <w:r>
        <w:rPr>
          <w:sz w:val="22"/>
          <w:szCs w:val="22"/>
        </w:rPr>
        <w:t>, Instagram) and on TV station</w:t>
      </w:r>
      <w:r>
        <w:rPr>
          <w:sz w:val="22"/>
          <w:szCs w:val="22"/>
        </w:rPr>
        <w:t xml:space="preserve">s, as well as implementing marketing </w:t>
      </w:r>
      <w:proofErr w:type="spellStart"/>
      <w:r>
        <w:rPr>
          <w:sz w:val="22"/>
          <w:szCs w:val="22"/>
        </w:rPr>
        <w:t>activi</w:t>
      </w:r>
      <w:r w:rsidR="00626917">
        <w:rPr>
          <w:sz w:val="22"/>
          <w:szCs w:val="22"/>
        </w:rPr>
        <w:t>R</w:t>
      </w:r>
      <w:r>
        <w:rPr>
          <w:sz w:val="22"/>
          <w:szCs w:val="22"/>
        </w:rPr>
        <w:t>ties</w:t>
      </w:r>
      <w:proofErr w:type="spellEnd"/>
      <w:r>
        <w:rPr>
          <w:sz w:val="22"/>
          <w:szCs w:val="22"/>
        </w:rPr>
        <w:t xml:space="preserve"> in accordance with </w:t>
      </w:r>
      <w:hyperlink r:id="rId9">
        <w:r>
          <w:rPr>
            <w:sz w:val="22"/>
            <w:szCs w:val="22"/>
          </w:rPr>
          <w:t>C&amp;V plan.</w:t>
        </w:r>
      </w:hyperlink>
      <w:r>
        <w:rPr>
          <w:sz w:val="22"/>
          <w:szCs w:val="22"/>
        </w:rPr>
        <w:t xml:space="preserve"> </w:t>
      </w:r>
    </w:p>
    <w:p w:rsidR="00067575" w:rsidRDefault="00067575">
      <w:pPr>
        <w:widowControl/>
        <w:ind w:left="357" w:hanging="2"/>
        <w:jc w:val="both"/>
        <w:rPr>
          <w:sz w:val="22"/>
          <w:szCs w:val="22"/>
        </w:rPr>
      </w:pPr>
    </w:p>
    <w:p w:rsidR="00067575" w:rsidRDefault="000039E9">
      <w:pPr>
        <w:ind w:left="709" w:hanging="349"/>
        <w:rPr>
          <w:sz w:val="22"/>
          <w:szCs w:val="22"/>
        </w:rPr>
      </w:pPr>
      <w:r>
        <w:rPr>
          <w:b/>
          <w:sz w:val="22"/>
          <w:szCs w:val="22"/>
        </w:rPr>
        <w:t xml:space="preserve">8. </w:t>
      </w:r>
      <w:r>
        <w:rPr>
          <w:b/>
          <w:sz w:val="22"/>
          <w:szCs w:val="22"/>
        </w:rPr>
        <w:tab/>
        <w:t>Number and titles of lots</w:t>
      </w:r>
    </w:p>
    <w:p w:rsidR="00067575" w:rsidRDefault="000039E9">
      <w:pPr>
        <w:ind w:left="709" w:hanging="349"/>
        <w:rPr>
          <w:sz w:val="22"/>
          <w:szCs w:val="22"/>
        </w:rPr>
      </w:pPr>
      <w:r>
        <w:rPr>
          <w:sz w:val="22"/>
          <w:szCs w:val="22"/>
        </w:rPr>
        <w:t>One lot only</w:t>
      </w:r>
    </w:p>
    <w:p w:rsidR="00067575" w:rsidRDefault="000039E9">
      <w:pPr>
        <w:ind w:left="709" w:hanging="349"/>
        <w:rPr>
          <w:b/>
          <w:sz w:val="22"/>
          <w:szCs w:val="22"/>
        </w:rPr>
      </w:pPr>
      <w:r>
        <w:rPr>
          <w:b/>
          <w:sz w:val="22"/>
          <w:szCs w:val="22"/>
        </w:rPr>
        <w:t xml:space="preserve">9. </w:t>
      </w:r>
      <w:r>
        <w:rPr>
          <w:b/>
          <w:sz w:val="22"/>
          <w:szCs w:val="22"/>
        </w:rPr>
        <w:tab/>
      </w:r>
      <w:r>
        <w:rPr>
          <w:b/>
          <w:sz w:val="22"/>
          <w:szCs w:val="22"/>
        </w:rPr>
        <w:t>Maximum budget</w:t>
      </w:r>
    </w:p>
    <w:p w:rsidR="00067575" w:rsidRDefault="000039E9">
      <w:pPr>
        <w:ind w:left="709" w:hanging="349"/>
        <w:rPr>
          <w:sz w:val="22"/>
          <w:szCs w:val="22"/>
        </w:rPr>
      </w:pPr>
      <w:r>
        <w:rPr>
          <w:b/>
          <w:sz w:val="22"/>
          <w:szCs w:val="22"/>
        </w:rPr>
        <w:t>5,000.00 EUR</w:t>
      </w:r>
    </w:p>
    <w:p w:rsidR="00067575" w:rsidRDefault="000039E9">
      <w:pPr>
        <w:pBdr>
          <w:top w:val="nil"/>
          <w:left w:val="nil"/>
          <w:bottom w:val="nil"/>
          <w:right w:val="nil"/>
          <w:between w:val="nil"/>
        </w:pBdr>
        <w:ind w:left="360" w:right="360"/>
        <w:jc w:val="both"/>
        <w:rPr>
          <w:color w:val="000000"/>
          <w:sz w:val="22"/>
          <w:szCs w:val="22"/>
        </w:rPr>
      </w:pPr>
      <w:r>
        <w:rPr>
          <w:noProof/>
        </w:rPr>
        <mc:AlternateContent>
          <mc:Choice Requires="wps">
            <w:drawing>
              <wp:anchor distT="0" distB="0" distL="114300" distR="114300" simplePos="0" relativeHeight="251659264" behindDoc="0" locked="0" layoutInCell="1" hidden="0" allowOverlap="1">
                <wp:simplePos x="0" y="0"/>
                <wp:positionH relativeFrom="column">
                  <wp:posOffset>-12699</wp:posOffset>
                </wp:positionH>
                <wp:positionV relativeFrom="paragraph">
                  <wp:posOffset>203200</wp:posOffset>
                </wp:positionV>
                <wp:extent cx="635" cy="22225"/>
                <wp:effectExtent l="0" t="0" r="0" b="0"/>
                <wp:wrapNone/>
                <wp:docPr id="17" name="Straight Arrow Connector 17"/>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-12699</wp:posOffset>
                </wp:positionH>
                <wp:positionV relativeFrom="paragraph">
                  <wp:posOffset>203200</wp:posOffset>
                </wp:positionV>
                <wp:extent cx="635" cy="22225"/>
                <wp:effectExtent b="0" l="0" r="0" t="0"/>
                <wp:wrapNone/>
                <wp:docPr id="17"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35" cy="22225"/>
                        </a:xfrm>
                        <a:prstGeom prst="rect"/>
                        <a:ln/>
                      </pic:spPr>
                    </pic:pic>
                  </a:graphicData>
                </a:graphic>
              </wp:anchor>
            </w:drawing>
          </mc:Fallback>
        </mc:AlternateContent>
      </w:r>
    </w:p>
    <w:p w:rsidR="00067575" w:rsidRDefault="000039E9">
      <w:pPr>
        <w:jc w:val="center"/>
        <w:rPr>
          <w:sz w:val="28"/>
          <w:szCs w:val="28"/>
        </w:rPr>
      </w:pPr>
      <w:r>
        <w:rPr>
          <w:b/>
          <w:sz w:val="28"/>
          <w:szCs w:val="28"/>
        </w:rPr>
        <w:t>CONDITIONS OF PARTICIPATION</w:t>
      </w:r>
    </w:p>
    <w:p w:rsidR="00067575" w:rsidRDefault="000039E9">
      <w:pPr>
        <w:pBdr>
          <w:top w:val="nil"/>
          <w:left w:val="nil"/>
          <w:bottom w:val="nil"/>
          <w:right w:val="nil"/>
          <w:between w:val="nil"/>
        </w:pBdr>
        <w:ind w:firstLine="426"/>
        <w:rPr>
          <w:b/>
          <w:color w:val="000000"/>
          <w:sz w:val="22"/>
          <w:szCs w:val="22"/>
        </w:rPr>
      </w:pPr>
      <w:r>
        <w:rPr>
          <w:b/>
          <w:color w:val="000000"/>
          <w:sz w:val="22"/>
          <w:szCs w:val="22"/>
        </w:rPr>
        <w:t>10. Legal basis, eligibility and rules of origin</w:t>
      </w:r>
    </w:p>
    <w:p w:rsidR="00067575" w:rsidRDefault="00067575">
      <w:pPr>
        <w:widowControl/>
        <w:pBdr>
          <w:top w:val="nil"/>
          <w:left w:val="nil"/>
          <w:bottom w:val="nil"/>
          <w:right w:val="nil"/>
          <w:between w:val="nil"/>
        </w:pBdr>
        <w:spacing w:before="0" w:after="0"/>
        <w:ind w:right="270"/>
        <w:jc w:val="both"/>
        <w:rPr>
          <w:color w:val="000000"/>
          <w:sz w:val="22"/>
          <w:szCs w:val="22"/>
        </w:rPr>
      </w:pPr>
    </w:p>
    <w:p w:rsidR="00067575" w:rsidRDefault="000039E9">
      <w:pPr>
        <w:widowControl/>
        <w:pBdr>
          <w:top w:val="nil"/>
          <w:left w:val="nil"/>
          <w:bottom w:val="nil"/>
          <w:right w:val="nil"/>
          <w:between w:val="nil"/>
        </w:pBdr>
        <w:spacing w:before="0" w:after="0"/>
        <w:ind w:left="426"/>
        <w:jc w:val="both"/>
        <w:rPr>
          <w:rFonts w:ascii="Quattrocento Sans" w:eastAsia="Quattrocento Sans" w:hAnsi="Quattrocento Sans" w:cs="Quattrocento Sans"/>
          <w:color w:val="000000"/>
          <w:sz w:val="22"/>
          <w:szCs w:val="22"/>
        </w:rPr>
      </w:pPr>
      <w:r>
        <w:rPr>
          <w:color w:val="000000"/>
          <w:sz w:val="22"/>
          <w:szCs w:val="22"/>
        </w:rPr>
        <w:t xml:space="preserve">The legal basis of this procedure is Regulation (EU) No [1529] establishing the Instrument for Pre-accession Assistance (IPA III). </w:t>
      </w:r>
      <w:r>
        <w:rPr>
          <w:color w:val="000000"/>
        </w:rPr>
        <w:t>S</w:t>
      </w:r>
      <w:r>
        <w:rPr>
          <w:color w:val="000000"/>
          <w:sz w:val="22"/>
          <w:szCs w:val="22"/>
        </w:rPr>
        <w:t>ee Annex A2 of the practical guide.</w:t>
      </w:r>
    </w:p>
    <w:p w:rsidR="00067575" w:rsidRDefault="000039E9">
      <w:pPr>
        <w:widowControl/>
        <w:pBdr>
          <w:top w:val="nil"/>
          <w:left w:val="nil"/>
          <w:bottom w:val="nil"/>
          <w:right w:val="nil"/>
          <w:between w:val="nil"/>
        </w:pBdr>
        <w:spacing w:before="0" w:after="0"/>
        <w:ind w:left="426"/>
        <w:jc w:val="both"/>
        <w:rPr>
          <w:color w:val="000000"/>
          <w:sz w:val="22"/>
          <w:szCs w:val="22"/>
        </w:rPr>
      </w:pPr>
      <w:r>
        <w:rPr>
          <w:color w:val="000000"/>
          <w:sz w:val="22"/>
          <w:szCs w:val="22"/>
        </w:rPr>
        <w:t xml:space="preserve">For this contract award procedure, participation is open to </w:t>
      </w:r>
      <w:proofErr w:type="gramStart"/>
      <w:r>
        <w:rPr>
          <w:color w:val="000000"/>
          <w:sz w:val="22"/>
          <w:szCs w:val="22"/>
        </w:rPr>
        <w:t>all natural</w:t>
      </w:r>
      <w:proofErr w:type="gramEnd"/>
      <w:r>
        <w:rPr>
          <w:color w:val="000000"/>
          <w:sz w:val="22"/>
          <w:szCs w:val="22"/>
        </w:rPr>
        <w:t xml:space="preserve"> persons who are nationals of and legal persons (participating either individually or in a grouping – consortium – of candidates/tenderers) which are</w:t>
      </w:r>
      <w:r>
        <w:rPr>
          <w:color w:val="000000"/>
          <w:sz w:val="22"/>
          <w:szCs w:val="22"/>
        </w:rPr>
        <w:t xml:space="preserve"> effectively established in a Member State of the European Union or in an eligible country or </w:t>
      </w:r>
      <w:r>
        <w:rPr>
          <w:color w:val="000000"/>
          <w:sz w:val="22"/>
          <w:szCs w:val="22"/>
        </w:rPr>
        <w:lastRenderedPageBreak/>
        <w:t xml:space="preserve">territory as defined under Article 11 of Regulation (EU) No [1529] establishing the Instrument for Pre-accession Assistance (IPA III). </w:t>
      </w:r>
    </w:p>
    <w:p w:rsidR="00067575" w:rsidRDefault="00067575">
      <w:pPr>
        <w:widowControl/>
        <w:pBdr>
          <w:top w:val="nil"/>
          <w:left w:val="nil"/>
          <w:bottom w:val="nil"/>
          <w:right w:val="nil"/>
          <w:between w:val="nil"/>
        </w:pBdr>
        <w:spacing w:before="0" w:after="0"/>
        <w:jc w:val="both"/>
        <w:rPr>
          <w:rFonts w:ascii="Quattrocento Sans" w:eastAsia="Quattrocento Sans" w:hAnsi="Quattrocento Sans" w:cs="Quattrocento Sans"/>
          <w:color w:val="000000"/>
          <w:sz w:val="22"/>
          <w:szCs w:val="22"/>
        </w:rPr>
      </w:pPr>
    </w:p>
    <w:p w:rsidR="00067575" w:rsidRDefault="000039E9">
      <w:pPr>
        <w:ind w:left="709" w:hanging="349"/>
        <w:rPr>
          <w:sz w:val="22"/>
          <w:szCs w:val="22"/>
        </w:rPr>
      </w:pPr>
      <w:bookmarkStart w:id="0" w:name="_heading=h.gjdgxs" w:colFirst="0" w:colLast="0"/>
      <w:bookmarkEnd w:id="0"/>
      <w:r>
        <w:rPr>
          <w:b/>
          <w:sz w:val="22"/>
          <w:szCs w:val="22"/>
        </w:rPr>
        <w:t xml:space="preserve">11. </w:t>
      </w:r>
      <w:r>
        <w:rPr>
          <w:b/>
          <w:sz w:val="22"/>
          <w:szCs w:val="22"/>
        </w:rPr>
        <w:tab/>
        <w:t>Number of tenders</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No</w:t>
      </w:r>
      <w:r>
        <w:rPr>
          <w:color w:val="000000"/>
          <w:sz w:val="22"/>
          <w:szCs w:val="22"/>
        </w:rPr>
        <w:t xml:space="preserve"> more than one tender can be submitted by a natural or legal person whatever the form of participation (as an individual legal entity or as leader or member of a consortium submitting a tender).  In the event that a natural or legal person submits more tha</w:t>
      </w:r>
      <w:r>
        <w:rPr>
          <w:color w:val="000000"/>
          <w:sz w:val="22"/>
          <w:szCs w:val="22"/>
        </w:rPr>
        <w:t>n one tender, all tenders in which that person has participated will be excluded.</w:t>
      </w:r>
    </w:p>
    <w:p w:rsidR="00067575" w:rsidRDefault="000039E9">
      <w:pPr>
        <w:ind w:left="709" w:hanging="349"/>
        <w:rPr>
          <w:sz w:val="22"/>
          <w:szCs w:val="22"/>
        </w:rPr>
      </w:pPr>
      <w:r>
        <w:rPr>
          <w:b/>
          <w:sz w:val="22"/>
          <w:szCs w:val="22"/>
        </w:rPr>
        <w:t xml:space="preserve">12. </w:t>
      </w:r>
      <w:r>
        <w:rPr>
          <w:b/>
          <w:sz w:val="22"/>
          <w:szCs w:val="22"/>
        </w:rPr>
        <w:tab/>
        <w:t>Grounds for exclusion</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As part of the tender, tenderers must submit a signed declaration, included in the tender form, to the effect that they are not in any of the exclu</w:t>
      </w:r>
      <w:r>
        <w:rPr>
          <w:color w:val="000000"/>
          <w:sz w:val="22"/>
          <w:szCs w:val="22"/>
        </w:rPr>
        <w:t xml:space="preserve">sion situations listed in Section 2.6.10.1. of the practical guide. </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 xml:space="preserve">Tenderer included in the lists of EU restrictive measures (see Section 2.4. of the PRAG) at the moment of the award decision cannot be awarded the contract. </w:t>
      </w:r>
    </w:p>
    <w:p w:rsidR="00067575" w:rsidRDefault="000039E9">
      <w:pPr>
        <w:ind w:left="709" w:hanging="349"/>
        <w:rPr>
          <w:sz w:val="22"/>
          <w:szCs w:val="22"/>
        </w:rPr>
      </w:pPr>
      <w:r>
        <w:rPr>
          <w:b/>
          <w:sz w:val="22"/>
          <w:szCs w:val="22"/>
        </w:rPr>
        <w:t xml:space="preserve">13. </w:t>
      </w:r>
      <w:r>
        <w:rPr>
          <w:b/>
          <w:sz w:val="22"/>
          <w:szCs w:val="22"/>
        </w:rPr>
        <w:tab/>
        <w:t>Sub-contracting</w:t>
      </w:r>
    </w:p>
    <w:p w:rsidR="00067575" w:rsidRDefault="000039E9">
      <w:pPr>
        <w:ind w:left="709" w:hanging="349"/>
        <w:rPr>
          <w:sz w:val="22"/>
          <w:szCs w:val="22"/>
        </w:rPr>
      </w:pPr>
      <w:r>
        <w:rPr>
          <w:sz w:val="22"/>
          <w:szCs w:val="22"/>
        </w:rPr>
        <w:t>Subcontracting is allowed.</w:t>
      </w:r>
    </w:p>
    <w:p w:rsidR="00067575" w:rsidRDefault="000039E9">
      <w:pPr>
        <w:keepNext/>
        <w:jc w:val="center"/>
        <w:rPr>
          <w:sz w:val="28"/>
          <w:szCs w:val="28"/>
        </w:rPr>
      </w:pPr>
      <w:r>
        <w:rPr>
          <w:b/>
          <w:sz w:val="28"/>
          <w:szCs w:val="28"/>
        </w:rPr>
        <w:t>PROVISIONAL TIMETABLE</w:t>
      </w:r>
      <w:r>
        <w:rPr>
          <w:noProof/>
        </w:rPr>
        <mc:AlternateContent>
          <mc:Choice Requires="wps">
            <w:drawing>
              <wp:anchor distT="0" distB="0" distL="114300" distR="114300" simplePos="0" relativeHeight="251660288" behindDoc="0" locked="0" layoutInCell="1" hidden="0" allowOverlap="1">
                <wp:simplePos x="0" y="0"/>
                <wp:positionH relativeFrom="column">
                  <wp:posOffset>25401</wp:posOffset>
                </wp:positionH>
                <wp:positionV relativeFrom="paragraph">
                  <wp:posOffset>12700</wp:posOffset>
                </wp:positionV>
                <wp:extent cx="635" cy="22225"/>
                <wp:effectExtent l="0" t="0" r="0" b="0"/>
                <wp:wrapNone/>
                <wp:docPr id="20" name="Straight Arrow Connector 20"/>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25401</wp:posOffset>
                </wp:positionH>
                <wp:positionV relativeFrom="paragraph">
                  <wp:posOffset>12700</wp:posOffset>
                </wp:positionV>
                <wp:extent cx="635" cy="22225"/>
                <wp:effectExtent b="0" l="0" r="0" t="0"/>
                <wp:wrapNone/>
                <wp:docPr id="2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635" cy="22225"/>
                        </a:xfrm>
                        <a:prstGeom prst="rect"/>
                        <a:ln/>
                      </pic:spPr>
                    </pic:pic>
                  </a:graphicData>
                </a:graphic>
              </wp:anchor>
            </w:drawing>
          </mc:Fallback>
        </mc:AlternateContent>
      </w:r>
    </w:p>
    <w:p w:rsidR="00067575" w:rsidRDefault="000039E9">
      <w:pPr>
        <w:ind w:left="709" w:hanging="349"/>
        <w:rPr>
          <w:sz w:val="22"/>
          <w:szCs w:val="22"/>
        </w:rPr>
      </w:pPr>
      <w:r>
        <w:rPr>
          <w:b/>
          <w:sz w:val="22"/>
          <w:szCs w:val="22"/>
        </w:rPr>
        <w:t xml:space="preserve">14. </w:t>
      </w:r>
      <w:r>
        <w:rPr>
          <w:b/>
          <w:sz w:val="22"/>
          <w:szCs w:val="22"/>
        </w:rPr>
        <w:tab/>
        <w:t>Provisional commencement date of the contract</w:t>
      </w:r>
    </w:p>
    <w:p w:rsidR="00067575" w:rsidRDefault="000039E9">
      <w:pPr>
        <w:ind w:left="360" w:right="360"/>
        <w:jc w:val="both"/>
        <w:rPr>
          <w:i/>
          <w:sz w:val="22"/>
          <w:szCs w:val="22"/>
        </w:rPr>
      </w:pPr>
      <w:r>
        <w:rPr>
          <w:sz w:val="22"/>
          <w:szCs w:val="22"/>
        </w:rPr>
        <w:t>06.09.2023.</w:t>
      </w:r>
    </w:p>
    <w:p w:rsidR="00067575" w:rsidRDefault="000039E9">
      <w:pPr>
        <w:ind w:left="709" w:hanging="349"/>
        <w:rPr>
          <w:sz w:val="22"/>
          <w:szCs w:val="22"/>
        </w:rPr>
      </w:pPr>
      <w:r>
        <w:rPr>
          <w:b/>
          <w:sz w:val="22"/>
          <w:szCs w:val="22"/>
        </w:rPr>
        <w:t xml:space="preserve">15. </w:t>
      </w:r>
      <w:r>
        <w:rPr>
          <w:b/>
          <w:sz w:val="22"/>
          <w:szCs w:val="22"/>
        </w:rPr>
        <w:tab/>
        <w:t xml:space="preserve">Implementation period of the tasks </w:t>
      </w:r>
    </w:p>
    <w:p w:rsidR="00067575" w:rsidRDefault="000039E9">
      <w:pPr>
        <w:ind w:left="360" w:right="360"/>
        <w:jc w:val="both"/>
        <w:rPr>
          <w:b/>
          <w:color w:val="FF0000"/>
          <w:sz w:val="22"/>
          <w:szCs w:val="22"/>
        </w:rPr>
      </w:pPr>
      <w:r>
        <w:rPr>
          <w:sz w:val="22"/>
          <w:szCs w:val="22"/>
        </w:rPr>
        <w:t>06.09.2023 - 31.08.2026.</w:t>
      </w:r>
    </w:p>
    <w:p w:rsidR="00067575" w:rsidRDefault="000039E9">
      <w:pPr>
        <w:rPr>
          <w:sz w:val="22"/>
          <w:szCs w:val="22"/>
        </w:rPr>
      </w:pPr>
      <w:r>
        <w:rPr>
          <w:noProof/>
        </w:rPr>
        <mc:AlternateContent>
          <mc:Choice Requires="wps">
            <w:drawing>
              <wp:anchor distT="0" distB="0" distL="114300" distR="114300" simplePos="0" relativeHeight="251661312" behindDoc="0" locked="0" layoutInCell="1" hidden="0" allowOverlap="1">
                <wp:simplePos x="0" y="0"/>
                <wp:positionH relativeFrom="column">
                  <wp:posOffset>1</wp:posOffset>
                </wp:positionH>
                <wp:positionV relativeFrom="paragraph">
                  <wp:posOffset>139700</wp:posOffset>
                </wp:positionV>
                <wp:extent cx="635" cy="22225"/>
                <wp:effectExtent l="0" t="0" r="0" b="0"/>
                <wp:wrapNone/>
                <wp:docPr id="19" name="Straight Arrow Connector 19"/>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635" cy="22225"/>
                <wp:effectExtent b="0" l="0" r="0" t="0"/>
                <wp:wrapNone/>
                <wp:docPr id="19"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35" cy="22225"/>
                        </a:xfrm>
                        <a:prstGeom prst="rect"/>
                        <a:ln/>
                      </pic:spPr>
                    </pic:pic>
                  </a:graphicData>
                </a:graphic>
              </wp:anchor>
            </w:drawing>
          </mc:Fallback>
        </mc:AlternateContent>
      </w:r>
    </w:p>
    <w:p w:rsidR="00067575" w:rsidRDefault="000039E9">
      <w:pPr>
        <w:jc w:val="center"/>
        <w:rPr>
          <w:sz w:val="28"/>
          <w:szCs w:val="28"/>
        </w:rPr>
      </w:pPr>
      <w:r>
        <w:rPr>
          <w:b/>
          <w:sz w:val="28"/>
          <w:szCs w:val="28"/>
        </w:rPr>
        <w:t>SELECTION AND AWARD CRITERIA</w:t>
      </w:r>
    </w:p>
    <w:p w:rsidR="00067575" w:rsidRDefault="000039E9">
      <w:pPr>
        <w:ind w:left="709" w:hanging="349"/>
        <w:rPr>
          <w:b/>
          <w:sz w:val="22"/>
          <w:szCs w:val="22"/>
        </w:rPr>
      </w:pPr>
      <w:r>
        <w:rPr>
          <w:b/>
          <w:sz w:val="22"/>
          <w:szCs w:val="22"/>
        </w:rPr>
        <w:t xml:space="preserve">16. </w:t>
      </w:r>
      <w:r>
        <w:rPr>
          <w:b/>
          <w:sz w:val="22"/>
          <w:szCs w:val="22"/>
        </w:rPr>
        <w:tab/>
        <w:t>Selection criteria</w:t>
      </w:r>
    </w:p>
    <w:p w:rsidR="00067575" w:rsidRDefault="000039E9">
      <w:pPr>
        <w:widowControl/>
        <w:spacing w:before="240" w:after="0"/>
        <w:ind w:left="426"/>
        <w:jc w:val="both"/>
        <w:rPr>
          <w:sz w:val="22"/>
          <w:szCs w:val="22"/>
        </w:rPr>
      </w:pPr>
      <w:r>
        <w:rPr>
          <w:sz w:val="22"/>
          <w:szCs w:val="22"/>
        </w:rPr>
        <w:t>Capacity-providing entities</w:t>
      </w:r>
    </w:p>
    <w:p w:rsidR="00067575" w:rsidRDefault="000039E9">
      <w:pPr>
        <w:widowControl/>
        <w:spacing w:before="240" w:after="0"/>
        <w:ind w:left="426"/>
        <w:jc w:val="both"/>
        <w:rPr>
          <w:sz w:val="22"/>
          <w:szCs w:val="22"/>
        </w:rPr>
      </w:pPr>
      <w:r>
        <w:rPr>
          <w:sz w:val="22"/>
          <w:szCs w:val="22"/>
        </w:rPr>
        <w:t>An economic operator (i.e. candidate or tenderer) may, where appropriate and for a particular contract, rely on the capacities of other entities, regardless of the legal nature of the links it has with them. If the economic oper</w:t>
      </w:r>
      <w:r>
        <w:rPr>
          <w:sz w:val="22"/>
          <w:szCs w:val="22"/>
        </w:rPr>
        <w:t>ator relies on other entities, it must in that case prove to the contracting authority that it will have at its disposal the resources necessary for the performance of the contract by producing a commitment by those entities to place those resources at its</w:t>
      </w:r>
      <w:r>
        <w:rPr>
          <w:sz w:val="22"/>
          <w:szCs w:val="22"/>
        </w:rPr>
        <w:t xml:space="preserve"> disposal. Such entities, for instance the parent company of the economic operator, must respect the same rules of eligibility and notably that of nationality as the economic operator relying on them and must comply with the selection criteria for which th</w:t>
      </w:r>
      <w:r>
        <w:rPr>
          <w:sz w:val="22"/>
          <w:szCs w:val="22"/>
        </w:rPr>
        <w:t xml:space="preserve">e economic operator relies on them. </w:t>
      </w:r>
      <w:r>
        <w:rPr>
          <w:b/>
          <w:sz w:val="22"/>
          <w:szCs w:val="22"/>
        </w:rPr>
        <w:t>Furthermore, the data for this third entity for the relevant selection criterion should be included in a separate document</w:t>
      </w:r>
      <w:r>
        <w:rPr>
          <w:sz w:val="22"/>
          <w:szCs w:val="22"/>
        </w:rPr>
        <w:t>. Proof of the capacity will also have to be provided when requested by the contracting authority.</w:t>
      </w:r>
    </w:p>
    <w:p w:rsidR="00067575" w:rsidRDefault="000039E9">
      <w:pPr>
        <w:widowControl/>
        <w:spacing w:before="240" w:after="0"/>
        <w:ind w:left="426"/>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067575" w:rsidRDefault="000039E9">
      <w:pPr>
        <w:widowControl/>
        <w:spacing w:before="240" w:after="0"/>
        <w:ind w:left="426"/>
        <w:jc w:val="both"/>
        <w:rPr>
          <w:sz w:val="22"/>
          <w:szCs w:val="22"/>
          <w:highlight w:val="yellow"/>
        </w:rPr>
      </w:pPr>
      <w:r>
        <w:rPr>
          <w:sz w:val="22"/>
          <w:szCs w:val="22"/>
        </w:rPr>
        <w:t>With regard to economic and financial criteria, th</w:t>
      </w:r>
      <w:r>
        <w:rPr>
          <w:sz w:val="22"/>
          <w:szCs w:val="22"/>
        </w:rPr>
        <w:t>e entities upon whose capacity the economic operator relies, become jointly and severally liable for the performance of the contract.</w:t>
      </w:r>
    </w:p>
    <w:p w:rsidR="00067575" w:rsidRDefault="000039E9">
      <w:pPr>
        <w:pBdr>
          <w:top w:val="nil"/>
          <w:left w:val="nil"/>
          <w:bottom w:val="nil"/>
          <w:right w:val="nil"/>
          <w:between w:val="nil"/>
        </w:pBdr>
        <w:ind w:left="426" w:right="26"/>
        <w:jc w:val="both"/>
        <w:rPr>
          <w:color w:val="000000"/>
          <w:sz w:val="22"/>
          <w:szCs w:val="22"/>
        </w:rPr>
      </w:pPr>
      <w:r>
        <w:rPr>
          <w:color w:val="000000"/>
          <w:sz w:val="22"/>
          <w:szCs w:val="22"/>
        </w:rPr>
        <w:t>The following selection criteria will be applied to the tenderers. In the case of tenders submitted by a consortium, these</w:t>
      </w:r>
      <w:r>
        <w:rPr>
          <w:color w:val="000000"/>
          <w:sz w:val="22"/>
          <w:szCs w:val="22"/>
        </w:rPr>
        <w:t xml:space="preserve"> selection criteria will be applied to the consortium as a whole if not specified </w:t>
      </w:r>
      <w:r>
        <w:rPr>
          <w:color w:val="000000"/>
          <w:sz w:val="22"/>
          <w:szCs w:val="22"/>
        </w:rPr>
        <w:lastRenderedPageBreak/>
        <w:t>otherwise. The selection criteria will not be applied to natural persons and single-member companies when they are sub-contractors.</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The tenderer shall not use previous experience which caused breach of contract and termination by a contracting authority as a reference for selection criteria.</w:t>
      </w:r>
    </w:p>
    <w:p w:rsidR="00067575" w:rsidRDefault="000039E9">
      <w:pPr>
        <w:pBdr>
          <w:top w:val="nil"/>
          <w:left w:val="nil"/>
          <w:bottom w:val="nil"/>
          <w:right w:val="nil"/>
          <w:between w:val="nil"/>
        </w:pBdr>
        <w:ind w:left="641" w:right="26" w:hanging="284"/>
        <w:jc w:val="both"/>
        <w:rPr>
          <w:color w:val="000000"/>
          <w:sz w:val="22"/>
          <w:szCs w:val="22"/>
        </w:rPr>
      </w:pPr>
      <w:r>
        <w:rPr>
          <w:b/>
          <w:color w:val="000000"/>
          <w:sz w:val="22"/>
          <w:szCs w:val="22"/>
          <w:u w:val="single"/>
        </w:rPr>
        <w:t>1)</w:t>
      </w:r>
      <w:r>
        <w:rPr>
          <w:b/>
          <w:color w:val="000000"/>
          <w:sz w:val="22"/>
          <w:szCs w:val="22"/>
          <w:u w:val="single"/>
        </w:rPr>
        <w:tab/>
        <w:t>Economic and financial capacity of the tenderer</w:t>
      </w:r>
      <w:r>
        <w:rPr>
          <w:b/>
          <w:color w:val="000000"/>
          <w:sz w:val="22"/>
          <w:szCs w:val="22"/>
        </w:rPr>
        <w:t xml:space="preserve"> (</w:t>
      </w:r>
      <w:r>
        <w:rPr>
          <w:color w:val="000000"/>
          <w:sz w:val="22"/>
          <w:szCs w:val="22"/>
        </w:rPr>
        <w:t>based on item 3 of the tender form). In cas</w:t>
      </w:r>
      <w:r>
        <w:rPr>
          <w:color w:val="000000"/>
          <w:sz w:val="22"/>
          <w:szCs w:val="22"/>
        </w:rPr>
        <w:t xml:space="preserve">e of tenderer being a public body, equivalent information should be provided. The reference period which will be </w:t>
      </w:r>
      <w:proofErr w:type="gramStart"/>
      <w:r>
        <w:rPr>
          <w:color w:val="000000"/>
          <w:sz w:val="22"/>
          <w:szCs w:val="22"/>
        </w:rPr>
        <w:t>taken into acc</w:t>
      </w:r>
      <w:bookmarkStart w:id="1" w:name="_GoBack"/>
      <w:bookmarkEnd w:id="1"/>
      <w:r>
        <w:rPr>
          <w:color w:val="000000"/>
          <w:sz w:val="22"/>
          <w:szCs w:val="22"/>
        </w:rPr>
        <w:t>ount</w:t>
      </w:r>
      <w:proofErr w:type="gramEnd"/>
      <w:r>
        <w:rPr>
          <w:color w:val="000000"/>
          <w:sz w:val="22"/>
          <w:szCs w:val="22"/>
        </w:rPr>
        <w:t xml:space="preserve"> will be the last three financial years for which accounts have been closed.</w:t>
      </w:r>
    </w:p>
    <w:p w:rsidR="00067575" w:rsidRDefault="000039E9">
      <w:pPr>
        <w:pBdr>
          <w:top w:val="nil"/>
          <w:left w:val="nil"/>
          <w:bottom w:val="nil"/>
          <w:right w:val="nil"/>
          <w:between w:val="nil"/>
        </w:pBdr>
        <w:shd w:val="clear" w:color="auto" w:fill="FFFFFF"/>
        <w:ind w:left="360" w:right="26"/>
        <w:jc w:val="both"/>
        <w:rPr>
          <w:b/>
          <w:color w:val="000000"/>
          <w:sz w:val="22"/>
          <w:szCs w:val="22"/>
        </w:rPr>
      </w:pPr>
      <w:r>
        <w:rPr>
          <w:b/>
          <w:color w:val="000000"/>
          <w:sz w:val="22"/>
          <w:szCs w:val="22"/>
        </w:rPr>
        <w:t xml:space="preserve">Financial criteria for </w:t>
      </w:r>
      <w:r>
        <w:rPr>
          <w:b/>
          <w:color w:val="000000"/>
          <w:sz w:val="22"/>
          <w:szCs w:val="22"/>
          <w:u w:val="single"/>
        </w:rPr>
        <w:t>legal and natural</w:t>
      </w:r>
      <w:r>
        <w:rPr>
          <w:b/>
          <w:color w:val="000000"/>
          <w:sz w:val="22"/>
          <w:szCs w:val="22"/>
        </w:rPr>
        <w:t xml:space="preserve"> persons</w:t>
      </w:r>
      <w:r>
        <w:rPr>
          <w:b/>
          <w:color w:val="000000"/>
          <w:sz w:val="22"/>
          <w:szCs w:val="22"/>
        </w:rPr>
        <w:t>:</w:t>
      </w:r>
    </w:p>
    <w:p w:rsidR="00067575" w:rsidRDefault="000039E9">
      <w:pPr>
        <w:numPr>
          <w:ilvl w:val="0"/>
          <w:numId w:val="2"/>
        </w:numPr>
        <w:pBdr>
          <w:top w:val="nil"/>
          <w:left w:val="nil"/>
          <w:bottom w:val="nil"/>
          <w:right w:val="nil"/>
          <w:between w:val="nil"/>
        </w:pBdr>
        <w:shd w:val="clear" w:color="auto" w:fill="FFFFFF"/>
        <w:ind w:left="720" w:right="26"/>
        <w:jc w:val="both"/>
        <w:rPr>
          <w:color w:val="000000"/>
          <w:sz w:val="22"/>
          <w:szCs w:val="22"/>
        </w:rPr>
      </w:pPr>
      <w:r>
        <w:rPr>
          <w:color w:val="000000"/>
          <w:sz w:val="22"/>
          <w:szCs w:val="22"/>
        </w:rPr>
        <w:t xml:space="preserve">the average annual turnover of the tenderer must exceed the </w:t>
      </w:r>
      <w:proofErr w:type="spellStart"/>
      <w:r>
        <w:rPr>
          <w:color w:val="000000"/>
          <w:sz w:val="22"/>
          <w:szCs w:val="22"/>
        </w:rPr>
        <w:t>annualised</w:t>
      </w:r>
      <w:proofErr w:type="spellEnd"/>
      <w:r>
        <w:rPr>
          <w:color w:val="000000"/>
          <w:sz w:val="22"/>
          <w:szCs w:val="22"/>
        </w:rPr>
        <w:t xml:space="preserve"> maximum budget of the contract i.e. the maximum budget stated in the contract notice divided by the initial contract duration in years, where this exceeds 1 year (minimum annual turnove</w:t>
      </w:r>
      <w:r>
        <w:rPr>
          <w:color w:val="000000"/>
          <w:sz w:val="22"/>
          <w:szCs w:val="22"/>
        </w:rPr>
        <w:t>r requested may not exceed 2 times the estimated annual contract value, except in duly justified cases motivated in the tender dossier).</w:t>
      </w:r>
    </w:p>
    <w:p w:rsidR="00067575" w:rsidRDefault="000039E9">
      <w:pPr>
        <w:pBdr>
          <w:top w:val="nil"/>
          <w:left w:val="nil"/>
          <w:bottom w:val="nil"/>
          <w:right w:val="nil"/>
          <w:between w:val="nil"/>
        </w:pBdr>
        <w:ind w:left="641" w:right="26" w:hanging="284"/>
        <w:jc w:val="both"/>
        <w:rPr>
          <w:color w:val="000000"/>
          <w:sz w:val="22"/>
          <w:szCs w:val="22"/>
        </w:rPr>
      </w:pPr>
      <w:r>
        <w:rPr>
          <w:b/>
          <w:color w:val="000000"/>
          <w:sz w:val="22"/>
          <w:szCs w:val="22"/>
          <w:u w:val="single"/>
        </w:rPr>
        <w:t>2)</w:t>
      </w:r>
      <w:r>
        <w:rPr>
          <w:color w:val="000000"/>
          <w:sz w:val="22"/>
          <w:szCs w:val="22"/>
          <w:u w:val="single"/>
        </w:rPr>
        <w:tab/>
      </w:r>
      <w:r>
        <w:rPr>
          <w:b/>
          <w:color w:val="000000"/>
          <w:sz w:val="22"/>
          <w:szCs w:val="22"/>
          <w:u w:val="single"/>
        </w:rPr>
        <w:t>Professional capacity of the tenderer (</w:t>
      </w:r>
      <w:r>
        <w:rPr>
          <w:color w:val="000000"/>
          <w:sz w:val="22"/>
          <w:szCs w:val="22"/>
        </w:rPr>
        <w:t>based on items 4 of the tender form).</w:t>
      </w:r>
    </w:p>
    <w:p w:rsidR="00067575" w:rsidRDefault="000039E9">
      <w:pPr>
        <w:pBdr>
          <w:top w:val="nil"/>
          <w:left w:val="nil"/>
          <w:bottom w:val="nil"/>
          <w:right w:val="nil"/>
          <w:between w:val="nil"/>
        </w:pBdr>
        <w:ind w:left="360" w:right="26" w:hanging="2"/>
        <w:jc w:val="both"/>
        <w:rPr>
          <w:color w:val="000000"/>
          <w:sz w:val="22"/>
          <w:szCs w:val="22"/>
        </w:rPr>
      </w:pPr>
      <w:r>
        <w:rPr>
          <w:color w:val="000000"/>
          <w:sz w:val="22"/>
          <w:szCs w:val="22"/>
        </w:rPr>
        <w:t xml:space="preserve">The reference period which will be </w:t>
      </w:r>
      <w:proofErr w:type="gramStart"/>
      <w:r>
        <w:rPr>
          <w:color w:val="000000"/>
          <w:sz w:val="22"/>
          <w:szCs w:val="22"/>
        </w:rPr>
        <w:t>take</w:t>
      </w:r>
      <w:r>
        <w:rPr>
          <w:color w:val="000000"/>
          <w:sz w:val="22"/>
          <w:szCs w:val="22"/>
        </w:rPr>
        <w:t>n into account</w:t>
      </w:r>
      <w:proofErr w:type="gramEnd"/>
      <w:r>
        <w:rPr>
          <w:color w:val="000000"/>
          <w:sz w:val="22"/>
          <w:szCs w:val="22"/>
        </w:rPr>
        <w:t xml:space="preserve"> will be the last three years preceding the submission deadline.</w:t>
      </w:r>
    </w:p>
    <w:p w:rsidR="00067575" w:rsidRDefault="000039E9">
      <w:pPr>
        <w:pBdr>
          <w:top w:val="nil"/>
          <w:left w:val="nil"/>
          <w:bottom w:val="nil"/>
          <w:right w:val="nil"/>
          <w:between w:val="nil"/>
        </w:pBdr>
        <w:shd w:val="clear" w:color="auto" w:fill="FFFFFF"/>
        <w:ind w:left="360" w:right="26"/>
        <w:jc w:val="both"/>
        <w:rPr>
          <w:b/>
          <w:color w:val="000000"/>
          <w:sz w:val="22"/>
          <w:szCs w:val="22"/>
        </w:rPr>
      </w:pPr>
      <w:bookmarkStart w:id="2" w:name="_heading=h.30j0zll" w:colFirst="0" w:colLast="0"/>
      <w:bookmarkEnd w:id="2"/>
      <w:r>
        <w:rPr>
          <w:b/>
          <w:color w:val="000000"/>
          <w:sz w:val="22"/>
          <w:szCs w:val="22"/>
        </w:rPr>
        <w:t xml:space="preserve">Professional criteria for </w:t>
      </w:r>
      <w:r>
        <w:rPr>
          <w:b/>
          <w:color w:val="000000"/>
          <w:sz w:val="22"/>
          <w:szCs w:val="22"/>
          <w:u w:val="single"/>
        </w:rPr>
        <w:t>legal and natural</w:t>
      </w:r>
      <w:r>
        <w:rPr>
          <w:b/>
          <w:color w:val="000000"/>
          <w:sz w:val="22"/>
          <w:szCs w:val="22"/>
        </w:rPr>
        <w:t xml:space="preserve"> persons:</w:t>
      </w:r>
    </w:p>
    <w:p w:rsidR="00067575" w:rsidRDefault="000039E9">
      <w:pPr>
        <w:numPr>
          <w:ilvl w:val="0"/>
          <w:numId w:val="1"/>
        </w:numPr>
        <w:pBdr>
          <w:top w:val="nil"/>
          <w:left w:val="nil"/>
          <w:bottom w:val="nil"/>
          <w:right w:val="nil"/>
          <w:between w:val="nil"/>
        </w:pBdr>
        <w:shd w:val="clear" w:color="auto" w:fill="FFFFFF"/>
        <w:ind w:left="720" w:right="26"/>
        <w:jc w:val="both"/>
        <w:rPr>
          <w:color w:val="000000"/>
          <w:sz w:val="22"/>
          <w:szCs w:val="22"/>
        </w:rPr>
      </w:pPr>
      <w:r>
        <w:rPr>
          <w:color w:val="000000"/>
          <w:sz w:val="22"/>
          <w:szCs w:val="22"/>
        </w:rPr>
        <w:t>at least 1 member of staff currently work for the tenderer in fields related to this contract.</w:t>
      </w:r>
    </w:p>
    <w:p w:rsidR="00067575" w:rsidRDefault="000039E9">
      <w:pPr>
        <w:pBdr>
          <w:top w:val="nil"/>
          <w:left w:val="nil"/>
          <w:bottom w:val="nil"/>
          <w:right w:val="nil"/>
          <w:between w:val="nil"/>
        </w:pBdr>
        <w:ind w:left="720" w:right="26" w:hanging="360"/>
        <w:jc w:val="both"/>
        <w:rPr>
          <w:color w:val="000000"/>
          <w:sz w:val="22"/>
          <w:szCs w:val="22"/>
        </w:rPr>
      </w:pPr>
      <w:r>
        <w:rPr>
          <w:b/>
          <w:color w:val="000000"/>
          <w:sz w:val="22"/>
          <w:szCs w:val="22"/>
          <w:u w:val="single"/>
        </w:rPr>
        <w:t>3)</w:t>
      </w:r>
      <w:r>
        <w:rPr>
          <w:b/>
          <w:color w:val="000000"/>
          <w:sz w:val="22"/>
          <w:szCs w:val="22"/>
          <w:u w:val="single"/>
        </w:rPr>
        <w:tab/>
      </w:r>
      <w:r>
        <w:rPr>
          <w:b/>
          <w:color w:val="000000"/>
          <w:sz w:val="22"/>
          <w:szCs w:val="22"/>
          <w:u w:val="single"/>
        </w:rPr>
        <w:t xml:space="preserve">Technical capacity of tenderer </w:t>
      </w:r>
      <w:r>
        <w:rPr>
          <w:color w:val="000000"/>
          <w:sz w:val="22"/>
          <w:szCs w:val="22"/>
        </w:rPr>
        <w:t xml:space="preserve">(based on items 5 and 6 of the tender form). The reference period which will be </w:t>
      </w:r>
      <w:proofErr w:type="gramStart"/>
      <w:r>
        <w:rPr>
          <w:color w:val="000000"/>
          <w:sz w:val="22"/>
          <w:szCs w:val="22"/>
        </w:rPr>
        <w:t>taken into account</w:t>
      </w:r>
      <w:proofErr w:type="gramEnd"/>
      <w:r>
        <w:rPr>
          <w:color w:val="000000"/>
          <w:sz w:val="22"/>
          <w:szCs w:val="22"/>
        </w:rPr>
        <w:t xml:space="preserve"> will be the last three years preceding the submission deadline.</w:t>
      </w:r>
    </w:p>
    <w:p w:rsidR="00067575" w:rsidRDefault="000039E9">
      <w:pPr>
        <w:pBdr>
          <w:top w:val="nil"/>
          <w:left w:val="nil"/>
          <w:bottom w:val="nil"/>
          <w:right w:val="nil"/>
          <w:between w:val="nil"/>
        </w:pBdr>
        <w:shd w:val="clear" w:color="auto" w:fill="FFFFFF"/>
        <w:tabs>
          <w:tab w:val="left" w:pos="709"/>
        </w:tabs>
        <w:ind w:right="26"/>
        <w:jc w:val="both"/>
        <w:rPr>
          <w:b/>
          <w:color w:val="000000"/>
          <w:sz w:val="22"/>
          <w:szCs w:val="22"/>
        </w:rPr>
      </w:pPr>
      <w:r>
        <w:rPr>
          <w:b/>
          <w:color w:val="000000"/>
          <w:sz w:val="22"/>
          <w:szCs w:val="22"/>
        </w:rPr>
        <w:t xml:space="preserve">      Technical criterion for </w:t>
      </w:r>
      <w:r>
        <w:rPr>
          <w:b/>
          <w:color w:val="000000"/>
          <w:sz w:val="22"/>
          <w:szCs w:val="22"/>
          <w:u w:val="single"/>
        </w:rPr>
        <w:t>legal and natural</w:t>
      </w:r>
      <w:r>
        <w:rPr>
          <w:b/>
          <w:color w:val="000000"/>
          <w:sz w:val="22"/>
          <w:szCs w:val="22"/>
        </w:rPr>
        <w:t xml:space="preserve"> persons:</w:t>
      </w:r>
    </w:p>
    <w:p w:rsidR="00067575" w:rsidRDefault="000039E9">
      <w:pPr>
        <w:numPr>
          <w:ilvl w:val="0"/>
          <w:numId w:val="1"/>
        </w:numPr>
        <w:pBdr>
          <w:top w:val="nil"/>
          <w:left w:val="nil"/>
          <w:bottom w:val="nil"/>
          <w:right w:val="nil"/>
          <w:between w:val="nil"/>
        </w:pBdr>
        <w:shd w:val="clear" w:color="auto" w:fill="FFFFFF"/>
        <w:tabs>
          <w:tab w:val="left" w:pos="709"/>
        </w:tabs>
        <w:ind w:left="709" w:right="26" w:hanging="283"/>
        <w:jc w:val="both"/>
        <w:rPr>
          <w:color w:val="000000"/>
          <w:sz w:val="22"/>
          <w:szCs w:val="22"/>
        </w:rPr>
      </w:pPr>
      <w:r>
        <w:rPr>
          <w:color w:val="000000"/>
          <w:sz w:val="22"/>
          <w:szCs w:val="22"/>
        </w:rPr>
        <w:t>the tenderer has provided services under at least 2 contracts, with a budget of at least that of this contract in fields related to this contract which were implemented at any moment during the past three years.</w:t>
      </w:r>
    </w:p>
    <w:p w:rsidR="00067575" w:rsidRDefault="000039E9">
      <w:pPr>
        <w:pBdr>
          <w:top w:val="nil"/>
          <w:left w:val="nil"/>
          <w:bottom w:val="nil"/>
          <w:right w:val="nil"/>
          <w:between w:val="nil"/>
        </w:pBdr>
        <w:tabs>
          <w:tab w:val="left" w:pos="284"/>
        </w:tabs>
        <w:ind w:left="360" w:right="26"/>
        <w:jc w:val="both"/>
        <w:rPr>
          <w:color w:val="000000"/>
          <w:sz w:val="22"/>
          <w:szCs w:val="22"/>
        </w:rPr>
      </w:pPr>
      <w:r>
        <w:rPr>
          <w:color w:val="000000"/>
          <w:sz w:val="22"/>
          <w:szCs w:val="22"/>
        </w:rPr>
        <w:t xml:space="preserve">This means that the service </w:t>
      </w:r>
      <w:proofErr w:type="gramStart"/>
      <w:r>
        <w:rPr>
          <w:color w:val="000000"/>
          <w:sz w:val="22"/>
          <w:szCs w:val="22"/>
        </w:rPr>
        <w:t>contract</w:t>
      </w:r>
      <w:proofErr w:type="gramEnd"/>
      <w:r>
        <w:rPr>
          <w:color w:val="000000"/>
          <w:sz w:val="22"/>
          <w:szCs w:val="22"/>
        </w:rPr>
        <w:t xml:space="preserve"> the ten</w:t>
      </w:r>
      <w:r>
        <w:rPr>
          <w:color w:val="000000"/>
          <w:sz w:val="22"/>
          <w:szCs w:val="22"/>
        </w:rPr>
        <w:t>derer refers to could have been started at any time during the indicated period but it does not necessarily have to be completed during that period, nor implemented during the entire period. Tenderers are allowed to refer either to service contracts comple</w:t>
      </w:r>
      <w:r>
        <w:rPr>
          <w:color w:val="000000"/>
          <w:sz w:val="22"/>
          <w:szCs w:val="22"/>
        </w:rPr>
        <w:t>ted within the reference period (although started earlier) or to service contracts not yet completed. Only the portion satisfactorily completed during the reference period will be taken into consideration. This portion will have to be supported by document</w:t>
      </w:r>
      <w:r>
        <w:rPr>
          <w:color w:val="000000"/>
          <w:sz w:val="22"/>
          <w:szCs w:val="22"/>
        </w:rPr>
        <w:t xml:space="preserve">ary evidence (-statement or certificate from the entity which awarded the contract, proof of payment) also detailing its value. If a tenderer has implemented the service contract in a consortium, the percentage that the tenderer has successfully completed </w:t>
      </w:r>
      <w:r>
        <w:rPr>
          <w:color w:val="000000"/>
          <w:sz w:val="22"/>
          <w:szCs w:val="22"/>
        </w:rPr>
        <w:t>must be clear from the documentary evidence, together with a description of the nature of the services provided if the selection criteria relating to the pertinence of the experience have been used.</w:t>
      </w:r>
    </w:p>
    <w:p w:rsidR="00067575" w:rsidRDefault="000039E9">
      <w:pPr>
        <w:pBdr>
          <w:top w:val="nil"/>
          <w:left w:val="nil"/>
          <w:bottom w:val="nil"/>
          <w:right w:val="nil"/>
          <w:between w:val="nil"/>
        </w:pBdr>
        <w:ind w:left="357" w:right="26"/>
        <w:jc w:val="both"/>
        <w:rPr>
          <w:color w:val="000000"/>
          <w:sz w:val="22"/>
          <w:szCs w:val="22"/>
        </w:rPr>
      </w:pPr>
      <w:r>
        <w:rPr>
          <w:color w:val="000000"/>
          <w:sz w:val="22"/>
          <w:szCs w:val="22"/>
        </w:rPr>
        <w:t>Previous experience which would have led to breach of contract and termination by a contracting authority shall not be used as reference. This is also applicable concerning the previous experience of experts required under a fee-based service contract.</w:t>
      </w:r>
    </w:p>
    <w:p w:rsidR="00067575" w:rsidRDefault="000039E9">
      <w:pPr>
        <w:ind w:left="709" w:hanging="349"/>
        <w:rPr>
          <w:sz w:val="22"/>
          <w:szCs w:val="22"/>
        </w:rPr>
      </w:pPr>
      <w:r>
        <w:rPr>
          <w:b/>
          <w:sz w:val="22"/>
          <w:szCs w:val="22"/>
        </w:rPr>
        <w:t>17.</w:t>
      </w:r>
      <w:r>
        <w:rPr>
          <w:b/>
          <w:sz w:val="22"/>
          <w:szCs w:val="22"/>
        </w:rPr>
        <w:t xml:space="preserve"> </w:t>
      </w:r>
      <w:r>
        <w:rPr>
          <w:b/>
          <w:sz w:val="22"/>
          <w:szCs w:val="22"/>
        </w:rPr>
        <w:tab/>
        <w:t>Award criteria</w:t>
      </w:r>
    </w:p>
    <w:p w:rsidR="00067575" w:rsidRDefault="000039E9">
      <w:pPr>
        <w:pBdr>
          <w:top w:val="nil"/>
          <w:left w:val="nil"/>
          <w:bottom w:val="nil"/>
          <w:right w:val="nil"/>
          <w:between w:val="nil"/>
        </w:pBdr>
        <w:ind w:left="360" w:right="1"/>
        <w:jc w:val="both"/>
        <w:rPr>
          <w:color w:val="000000"/>
          <w:sz w:val="22"/>
          <w:szCs w:val="22"/>
        </w:rPr>
      </w:pPr>
      <w:r>
        <w:rPr>
          <w:color w:val="000000"/>
          <w:sz w:val="22"/>
          <w:szCs w:val="22"/>
        </w:rPr>
        <w:t>Best price-quality ratio.</w:t>
      </w:r>
    </w:p>
    <w:p w:rsidR="00067575" w:rsidRDefault="000039E9">
      <w:pPr>
        <w:rPr>
          <w:sz w:val="22"/>
          <w:szCs w:val="22"/>
        </w:rPr>
      </w:pPr>
      <w:r>
        <w:rPr>
          <w:noProof/>
        </w:rPr>
        <mc:AlternateContent>
          <mc:Choice Requires="wps">
            <w:drawing>
              <wp:anchor distT="0" distB="0" distL="114300" distR="114300" simplePos="0" relativeHeight="251662336" behindDoc="0" locked="0" layoutInCell="1" hidden="0" allowOverlap="1">
                <wp:simplePos x="0" y="0"/>
                <wp:positionH relativeFrom="column">
                  <wp:posOffset>1</wp:posOffset>
                </wp:positionH>
                <wp:positionV relativeFrom="paragraph">
                  <wp:posOffset>139700</wp:posOffset>
                </wp:positionV>
                <wp:extent cx="635" cy="22225"/>
                <wp:effectExtent l="0" t="0" r="0" b="0"/>
                <wp:wrapNone/>
                <wp:docPr id="16" name="Straight Arrow Connector 16"/>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635" cy="22225"/>
                <wp:effectExtent b="0" l="0" r="0" t="0"/>
                <wp:wrapNone/>
                <wp:docPr id="16"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635" cy="22225"/>
                        </a:xfrm>
                        <a:prstGeom prst="rect"/>
                        <a:ln/>
                      </pic:spPr>
                    </pic:pic>
                  </a:graphicData>
                </a:graphic>
              </wp:anchor>
            </w:drawing>
          </mc:Fallback>
        </mc:AlternateContent>
      </w:r>
    </w:p>
    <w:p w:rsidR="00067575" w:rsidRDefault="000039E9">
      <w:pPr>
        <w:keepNext/>
        <w:jc w:val="center"/>
        <w:rPr>
          <w:sz w:val="28"/>
          <w:szCs w:val="28"/>
        </w:rPr>
      </w:pPr>
      <w:r>
        <w:rPr>
          <w:b/>
          <w:sz w:val="28"/>
          <w:szCs w:val="28"/>
        </w:rPr>
        <w:lastRenderedPageBreak/>
        <w:t>TENDERING</w:t>
      </w:r>
    </w:p>
    <w:p w:rsidR="00067575" w:rsidRDefault="000039E9">
      <w:pPr>
        <w:keepNext/>
        <w:ind w:left="709" w:hanging="352"/>
        <w:rPr>
          <w:sz w:val="22"/>
          <w:szCs w:val="22"/>
        </w:rPr>
      </w:pPr>
      <w:r>
        <w:rPr>
          <w:b/>
          <w:sz w:val="22"/>
          <w:szCs w:val="22"/>
        </w:rPr>
        <w:t xml:space="preserve">18. </w:t>
      </w:r>
      <w:r>
        <w:rPr>
          <w:b/>
          <w:sz w:val="22"/>
          <w:szCs w:val="22"/>
        </w:rPr>
        <w:tab/>
        <w:t>Deadline for submission of tenders</w:t>
      </w:r>
    </w:p>
    <w:p w:rsidR="00067575" w:rsidRDefault="000039E9">
      <w:pPr>
        <w:pBdr>
          <w:top w:val="nil"/>
          <w:left w:val="nil"/>
          <w:bottom w:val="nil"/>
          <w:right w:val="nil"/>
          <w:between w:val="nil"/>
        </w:pBdr>
        <w:ind w:left="360" w:right="26"/>
        <w:jc w:val="both"/>
        <w:rPr>
          <w:i/>
          <w:color w:val="000000"/>
          <w:sz w:val="22"/>
          <w:szCs w:val="22"/>
        </w:rPr>
      </w:pPr>
      <w:r>
        <w:rPr>
          <w:color w:val="000000"/>
          <w:sz w:val="22"/>
          <w:szCs w:val="22"/>
        </w:rPr>
        <w:t>The deadline for submission of tenders is specified in point 8 of the instruction to tenderers.</w:t>
      </w:r>
      <w:r>
        <w:rPr>
          <w:color w:val="000000"/>
          <w:sz w:val="22"/>
          <w:szCs w:val="22"/>
          <w:highlight w:val="yellow"/>
        </w:rPr>
        <w:t xml:space="preserve">    </w:t>
      </w:r>
    </w:p>
    <w:p w:rsidR="00067575" w:rsidRDefault="000039E9">
      <w:pPr>
        <w:ind w:left="709" w:hanging="349"/>
        <w:rPr>
          <w:sz w:val="22"/>
          <w:szCs w:val="22"/>
        </w:rPr>
      </w:pPr>
      <w:r>
        <w:rPr>
          <w:b/>
          <w:sz w:val="22"/>
          <w:szCs w:val="22"/>
        </w:rPr>
        <w:t xml:space="preserve">19. </w:t>
      </w:r>
      <w:r>
        <w:rPr>
          <w:b/>
          <w:sz w:val="22"/>
          <w:szCs w:val="22"/>
        </w:rPr>
        <w:tab/>
        <w:t>Tender format and details to be provided</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 xml:space="preserve">Tenders must be submitted using the standard tender form for simplified procedures, the format and instructions of which must be strictly observed. The tender form is available from the following internet address: </w:t>
      </w:r>
      <w:hyperlink r:id="rId14" w:anchor="Annexes-AnnexesB(Ch.3):Servicecontracts">
        <w:r>
          <w:rPr>
            <w:color w:val="0000FF"/>
            <w:sz w:val="22"/>
            <w:szCs w:val="22"/>
            <w:u w:val="single"/>
          </w:rPr>
          <w:t>https://wikis.ec.europa.eu/display/ExactExternalWiki/Annexes#Annexes-AnnexesB(Ch.3):Servicecontracts</w:t>
        </w:r>
      </w:hyperlink>
      <w:r>
        <w:rPr>
          <w:color w:val="000000"/>
          <w:sz w:val="22"/>
          <w:szCs w:val="22"/>
        </w:rPr>
        <w:t xml:space="preserve">, under the zip file called Simplified Tender dossier. </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The tender must b</w:t>
      </w:r>
      <w:r>
        <w:rPr>
          <w:color w:val="000000"/>
          <w:sz w:val="22"/>
          <w:szCs w:val="22"/>
        </w:rPr>
        <w:t xml:space="preserve">e accompanied by a declaration on </w:t>
      </w:r>
      <w:proofErr w:type="spellStart"/>
      <w:r>
        <w:rPr>
          <w:color w:val="000000"/>
          <w:sz w:val="22"/>
          <w:szCs w:val="22"/>
        </w:rPr>
        <w:t>honour</w:t>
      </w:r>
      <w:proofErr w:type="spellEnd"/>
      <w:r>
        <w:rPr>
          <w:color w:val="000000"/>
          <w:sz w:val="22"/>
          <w:szCs w:val="22"/>
        </w:rPr>
        <w:t xml:space="preserve"> on exclusion and selection criteria using the template available from the following Internet address:</w:t>
      </w:r>
    </w:p>
    <w:p w:rsidR="00067575" w:rsidRDefault="000039E9">
      <w:pPr>
        <w:pBdr>
          <w:top w:val="nil"/>
          <w:left w:val="nil"/>
          <w:bottom w:val="nil"/>
          <w:right w:val="nil"/>
          <w:between w:val="nil"/>
        </w:pBdr>
        <w:ind w:left="360" w:right="26"/>
        <w:jc w:val="both"/>
        <w:rPr>
          <w:color w:val="000000"/>
          <w:sz w:val="22"/>
          <w:szCs w:val="22"/>
        </w:rPr>
      </w:pPr>
      <w:hyperlink r:id="rId15" w:anchor="Annexes-AnnexesA(Ch.2):General">
        <w:r>
          <w:rPr>
            <w:color w:val="0000FF"/>
            <w:sz w:val="22"/>
            <w:szCs w:val="22"/>
            <w:u w:val="single"/>
          </w:rPr>
          <w:t>https://wikis.ec.europa.eu/display/ExactExternalWiki/Annexes#Annexes-AnnexesA(Ch.2):General</w:t>
        </w:r>
      </w:hyperlink>
      <w:r>
        <w:rPr>
          <w:color w:val="000000"/>
          <w:sz w:val="22"/>
          <w:szCs w:val="22"/>
        </w:rPr>
        <w:t xml:space="preserve"> </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Any additional documentation (brochure, letter, e</w:t>
      </w:r>
      <w:r>
        <w:rPr>
          <w:color w:val="000000"/>
          <w:sz w:val="22"/>
          <w:szCs w:val="22"/>
        </w:rPr>
        <w:t>tc.) sent with a tender will not be taken into consideration.</w:t>
      </w:r>
    </w:p>
    <w:p w:rsidR="00067575" w:rsidRDefault="000039E9">
      <w:pPr>
        <w:ind w:left="709" w:hanging="349"/>
        <w:rPr>
          <w:sz w:val="22"/>
          <w:szCs w:val="22"/>
        </w:rPr>
      </w:pPr>
      <w:r>
        <w:rPr>
          <w:b/>
          <w:sz w:val="22"/>
          <w:szCs w:val="22"/>
        </w:rPr>
        <w:t xml:space="preserve">20. </w:t>
      </w:r>
      <w:r>
        <w:rPr>
          <w:b/>
          <w:sz w:val="22"/>
          <w:szCs w:val="22"/>
        </w:rPr>
        <w:tab/>
        <w:t>How tenders may be submitted</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 xml:space="preserve">Tenders must be submitted in English exclusively to the contracting authority, using the means specified in point 8 of the instructions to tenderers.  </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 xml:space="preserve">Tenders </w:t>
      </w:r>
      <w:r>
        <w:rPr>
          <w:color w:val="000000"/>
          <w:sz w:val="22"/>
          <w:szCs w:val="22"/>
        </w:rPr>
        <w:t>submitted by any other means will not be considered.</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By submitting a tender,</w:t>
      </w:r>
      <w:r>
        <w:rPr>
          <w:sz w:val="22"/>
          <w:szCs w:val="22"/>
        </w:rPr>
        <w:t xml:space="preserve"> </w:t>
      </w:r>
      <w:r>
        <w:rPr>
          <w:color w:val="000000"/>
          <w:sz w:val="22"/>
          <w:szCs w:val="22"/>
        </w:rPr>
        <w:t>tenderers accept to receive notification of the outcome of the procedure by electronic means.</w:t>
      </w:r>
    </w:p>
    <w:p w:rsidR="00067575" w:rsidRDefault="000039E9">
      <w:pPr>
        <w:ind w:left="709" w:hanging="349"/>
        <w:rPr>
          <w:b/>
          <w:sz w:val="22"/>
          <w:szCs w:val="22"/>
        </w:rPr>
      </w:pPr>
      <w:r>
        <w:rPr>
          <w:b/>
          <w:sz w:val="22"/>
          <w:szCs w:val="22"/>
        </w:rPr>
        <w:t>21.</w:t>
      </w:r>
      <w:r>
        <w:rPr>
          <w:b/>
          <w:sz w:val="22"/>
          <w:szCs w:val="22"/>
        </w:rPr>
        <w:tab/>
        <w:t>Alteration or withdrawal of tenders</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Tenderers may alter or withdraw their tenders</w:t>
      </w:r>
      <w:r>
        <w:rPr>
          <w:color w:val="000000"/>
          <w:sz w:val="22"/>
          <w:szCs w:val="22"/>
        </w:rPr>
        <w:t xml:space="preserve"> by written notification prior to the deadline for submission of tenders. No tender may be altered after this deadline.</w:t>
      </w:r>
    </w:p>
    <w:p w:rsidR="00067575" w:rsidRDefault="000039E9">
      <w:pPr>
        <w:pBdr>
          <w:top w:val="nil"/>
          <w:left w:val="nil"/>
          <w:bottom w:val="nil"/>
          <w:right w:val="nil"/>
          <w:between w:val="nil"/>
        </w:pBdr>
        <w:ind w:left="360" w:right="26"/>
        <w:jc w:val="both"/>
        <w:rPr>
          <w:color w:val="000000"/>
          <w:sz w:val="22"/>
          <w:szCs w:val="22"/>
        </w:rPr>
      </w:pPr>
      <w:r>
        <w:rPr>
          <w:color w:val="000000"/>
          <w:sz w:val="22"/>
          <w:szCs w:val="22"/>
        </w:rPr>
        <w:t>Any such notification of alteration or withdrawal shall be prepared and submitted in accordance with point 9 of the instructions to tend</w:t>
      </w:r>
      <w:r>
        <w:rPr>
          <w:color w:val="000000"/>
          <w:sz w:val="22"/>
          <w:szCs w:val="22"/>
        </w:rPr>
        <w:t xml:space="preserve">erers. </w:t>
      </w:r>
    </w:p>
    <w:p w:rsidR="00067575" w:rsidRDefault="000039E9">
      <w:pPr>
        <w:keepNext/>
        <w:ind w:left="709" w:right="26" w:hanging="352"/>
        <w:rPr>
          <w:sz w:val="22"/>
          <w:szCs w:val="22"/>
        </w:rPr>
      </w:pPr>
      <w:r>
        <w:rPr>
          <w:b/>
          <w:sz w:val="22"/>
          <w:szCs w:val="22"/>
        </w:rPr>
        <w:t xml:space="preserve">22. </w:t>
      </w:r>
      <w:r>
        <w:rPr>
          <w:b/>
          <w:sz w:val="22"/>
          <w:szCs w:val="22"/>
        </w:rPr>
        <w:tab/>
        <w:t>Operational language</w:t>
      </w:r>
    </w:p>
    <w:p w:rsidR="00067575" w:rsidRDefault="000039E9">
      <w:pPr>
        <w:pBdr>
          <w:top w:val="nil"/>
          <w:left w:val="nil"/>
          <w:bottom w:val="nil"/>
          <w:right w:val="nil"/>
          <w:between w:val="nil"/>
        </w:pBdr>
        <w:ind w:left="360" w:right="26"/>
        <w:jc w:val="both"/>
        <w:rPr>
          <w:i/>
          <w:color w:val="000000"/>
          <w:sz w:val="22"/>
          <w:szCs w:val="22"/>
        </w:rPr>
      </w:pPr>
      <w:r>
        <w:rPr>
          <w:color w:val="000000"/>
          <w:sz w:val="22"/>
          <w:szCs w:val="22"/>
        </w:rPr>
        <w:t xml:space="preserve">All written communications for this tender procedure and contract must be in English.  </w:t>
      </w:r>
    </w:p>
    <w:p w:rsidR="00067575" w:rsidRDefault="000039E9">
      <w:pPr>
        <w:pBdr>
          <w:top w:val="nil"/>
          <w:left w:val="nil"/>
          <w:bottom w:val="nil"/>
          <w:right w:val="nil"/>
          <w:between w:val="nil"/>
        </w:pBdr>
        <w:ind w:left="360" w:right="26"/>
        <w:jc w:val="both"/>
        <w:rPr>
          <w:b/>
          <w:color w:val="000000"/>
          <w:sz w:val="22"/>
          <w:szCs w:val="22"/>
        </w:rPr>
      </w:pPr>
      <w:r>
        <w:rPr>
          <w:b/>
          <w:color w:val="000000"/>
          <w:sz w:val="22"/>
          <w:szCs w:val="22"/>
        </w:rPr>
        <w:t>23. Additional information</w:t>
      </w:r>
    </w:p>
    <w:p w:rsidR="00067575" w:rsidRDefault="000039E9">
      <w:pPr>
        <w:widowControl/>
        <w:spacing w:after="0"/>
        <w:ind w:left="360" w:right="26"/>
        <w:jc w:val="both"/>
        <w:rPr>
          <w:color w:val="000000"/>
          <w:sz w:val="22"/>
          <w:szCs w:val="22"/>
        </w:rPr>
      </w:pPr>
      <w:bookmarkStart w:id="3" w:name="_heading=h.1fob9te" w:colFirst="0" w:colLast="0"/>
      <w:bookmarkEnd w:id="3"/>
      <w:r>
        <w:rPr>
          <w:sz w:val="22"/>
          <w:szCs w:val="22"/>
        </w:rPr>
        <w:t xml:space="preserve">Financial data to be provided by the candidate in the standard application form must be expressed in EUR. </w:t>
      </w:r>
      <w:r>
        <w:rPr>
          <w:color w:val="000000"/>
          <w:sz w:val="22"/>
          <w:szCs w:val="22"/>
        </w:rPr>
        <w:t>I</w:t>
      </w:r>
      <w:r>
        <w:rPr>
          <w:color w:val="000000"/>
          <w:sz w:val="22"/>
          <w:szCs w:val="22"/>
        </w:rPr>
        <w:t xml:space="preserve">f applicable, where a candidate refers to amounts originally expressed in a different currency, the conversion to </w:t>
      </w:r>
      <w:r>
        <w:rPr>
          <w:sz w:val="22"/>
          <w:szCs w:val="22"/>
        </w:rPr>
        <w:t>EUR</w:t>
      </w:r>
      <w:r>
        <w:rPr>
          <w:color w:val="000000"/>
          <w:sz w:val="22"/>
          <w:szCs w:val="22"/>
        </w:rPr>
        <w:t xml:space="preserve"> shall be made in accordance with the </w:t>
      </w:r>
      <w:proofErr w:type="spellStart"/>
      <w:r>
        <w:rPr>
          <w:color w:val="000000"/>
          <w:sz w:val="22"/>
          <w:szCs w:val="22"/>
        </w:rPr>
        <w:t>InforEuro</w:t>
      </w:r>
      <w:proofErr w:type="spellEnd"/>
      <w:r>
        <w:rPr>
          <w:color w:val="000000"/>
          <w:sz w:val="22"/>
          <w:szCs w:val="22"/>
        </w:rPr>
        <w:t xml:space="preserve"> exchange rate of July 2023, which can be found at the following address: </w:t>
      </w:r>
      <w:hyperlink r:id="rId16">
        <w:r>
          <w:rPr>
            <w:color w:val="0000FF"/>
            <w:sz w:val="22"/>
            <w:szCs w:val="22"/>
            <w:u w:val="single"/>
          </w:rPr>
          <w:t>http://ec.europa.eu/budget/graphs/inforeuro.html</w:t>
        </w:r>
      </w:hyperlink>
      <w:r>
        <w:rPr>
          <w:color w:val="000000"/>
          <w:sz w:val="22"/>
          <w:szCs w:val="22"/>
        </w:rPr>
        <w:t>.</w:t>
      </w:r>
    </w:p>
    <w:sectPr w:rsidR="00067575">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39E9" w:rsidRDefault="000039E9">
      <w:pPr>
        <w:spacing w:before="0" w:after="0"/>
      </w:pPr>
      <w:r>
        <w:separator/>
      </w:r>
    </w:p>
  </w:endnote>
  <w:endnote w:type="continuationSeparator" w:id="0">
    <w:p w:rsidR="000039E9" w:rsidRDefault="000039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575" w:rsidRDefault="00067575">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575" w:rsidRDefault="000039E9">
    <w:pPr>
      <w:pBdr>
        <w:top w:val="nil"/>
        <w:left w:val="nil"/>
        <w:bottom w:val="nil"/>
        <w:right w:val="nil"/>
        <w:between w:val="nil"/>
      </w:pBdr>
      <w:tabs>
        <w:tab w:val="center" w:pos="4320"/>
        <w:tab w:val="right" w:pos="8640"/>
        <w:tab w:val="right" w:pos="9214"/>
      </w:tabs>
      <w:spacing w:before="120" w:after="0"/>
      <w:rPr>
        <w:b/>
        <w:color w:val="000000"/>
        <w:sz w:val="20"/>
        <w:szCs w:val="20"/>
      </w:rPr>
    </w:pPr>
    <w:r>
      <w:rPr>
        <w:b/>
        <w:color w:val="000000"/>
        <w:sz w:val="20"/>
        <w:szCs w:val="20"/>
      </w:rPr>
      <w:t>2021.1</w:t>
    </w:r>
    <w:r>
      <w:rPr>
        <w:color w:val="000000"/>
        <w:sz w:val="18"/>
        <w:szCs w:val="18"/>
      </w:rPr>
      <w:tab/>
      <w:t xml:space="preserve">Page </w:t>
    </w:r>
    <w:r>
      <w:rPr>
        <w:color w:val="000000"/>
        <w:sz w:val="18"/>
        <w:szCs w:val="18"/>
      </w:rPr>
      <w:fldChar w:fldCharType="begin"/>
    </w:r>
    <w:r>
      <w:rPr>
        <w:color w:val="000000"/>
        <w:sz w:val="18"/>
        <w:szCs w:val="18"/>
      </w:rPr>
      <w:instrText>PAGE</w:instrText>
    </w:r>
    <w:r w:rsidR="005308E2">
      <w:rPr>
        <w:color w:val="000000"/>
        <w:sz w:val="18"/>
        <w:szCs w:val="18"/>
      </w:rPr>
      <w:fldChar w:fldCharType="separate"/>
    </w:r>
    <w:r w:rsidR="005308E2">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5308E2">
      <w:rPr>
        <w:color w:val="000000"/>
        <w:sz w:val="18"/>
        <w:szCs w:val="18"/>
      </w:rPr>
      <w:fldChar w:fldCharType="separate"/>
    </w:r>
    <w:r w:rsidR="005308E2">
      <w:rPr>
        <w:noProof/>
        <w:color w:val="000000"/>
        <w:sz w:val="18"/>
        <w:szCs w:val="18"/>
      </w:rPr>
      <w:t>1</w:t>
    </w:r>
    <w:r>
      <w:rPr>
        <w:color w:val="000000"/>
        <w:sz w:val="18"/>
        <w:szCs w:val="18"/>
      </w:rPr>
      <w:fldChar w:fldCharType="end"/>
    </w:r>
  </w:p>
  <w:p w:rsidR="00067575" w:rsidRDefault="000039E9">
    <w:pPr>
      <w:pBdr>
        <w:top w:val="nil"/>
        <w:left w:val="nil"/>
        <w:bottom w:val="nil"/>
        <w:right w:val="nil"/>
        <w:between w:val="nil"/>
      </w:pBdr>
      <w:tabs>
        <w:tab w:val="center" w:pos="4320"/>
        <w:tab w:val="right" w:pos="8640"/>
      </w:tabs>
      <w:spacing w:before="0" w:after="0"/>
      <w:rPr>
        <w:color w:val="000000"/>
      </w:rPr>
    </w:pPr>
    <w:r>
      <w:rPr>
        <w:color w:val="000000"/>
        <w:sz w:val="18"/>
        <w:szCs w:val="18"/>
      </w:rPr>
      <w:t>b8o3_contractnotice_simp_en.doc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575" w:rsidRDefault="00067575">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39E9" w:rsidRDefault="000039E9">
      <w:pPr>
        <w:spacing w:before="0" w:after="0"/>
      </w:pPr>
      <w:r>
        <w:separator/>
      </w:r>
    </w:p>
  </w:footnote>
  <w:footnote w:type="continuationSeparator" w:id="0">
    <w:p w:rsidR="000039E9" w:rsidRDefault="000039E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575" w:rsidRDefault="00067575">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575" w:rsidRDefault="00067575">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575" w:rsidRDefault="0006757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A25C7"/>
    <w:multiLevelType w:val="multilevel"/>
    <w:tmpl w:val="12849456"/>
    <w:lvl w:ilvl="0">
      <w:start w:val="1"/>
      <w:numFmt w:val="decimal"/>
      <w:pStyle w:val="PRAG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AA21B5"/>
    <w:multiLevelType w:val="multilevel"/>
    <w:tmpl w:val="AB56A0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7BE54EEF"/>
    <w:multiLevelType w:val="multilevel"/>
    <w:tmpl w:val="BBDEC06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575"/>
    <w:rsid w:val="000039E9"/>
    <w:rsid w:val="00067575"/>
    <w:rsid w:val="005308E2"/>
    <w:rsid w:val="00626917"/>
    <w:rsid w:val="00D81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EB452"/>
  <w15:docId w15:val="{AD9D8667-FD94-4662-B866-FD6707EE9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widowControl w:val="0"/>
        <w:spacing w:before="100" w:after="1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7D6292"/>
    <w:pPr>
      <w:keepNext/>
      <w:widowControl/>
      <w:spacing w:before="120" w:after="120"/>
      <w:outlineLvl w:val="1"/>
    </w:pPr>
    <w:rPr>
      <w:rFonts w:ascii="Arial" w:hAnsi="Arial"/>
      <w:sz w:val="20"/>
      <w:lang w:val="fr-B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pBdr>
        <w:top w:val="double" w:sz="2" w:space="0" w:color="000000"/>
      </w:pBdr>
      <w:jc w:val="center"/>
    </w:pPr>
    <w:rPr>
      <w:rFonts w:ascii="Arial" w:hAnsi="Arial"/>
      <w:snapToGrid w:val="0"/>
      <w:vanish/>
      <w:sz w:val="16"/>
    </w:rPr>
  </w:style>
  <w:style w:type="paragraph" w:styleId="z-TopofForm">
    <w:name w:val="HTML Top of Form"/>
    <w:next w:val="Normal"/>
    <w:hidden/>
    <w:pPr>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3"/>
      </w:numPr>
    </w:pPr>
  </w:style>
  <w:style w:type="paragraph" w:styleId="Subtitle">
    <w:name w:val="Subtitle"/>
    <w:basedOn w:val="Normal"/>
    <w:next w:val="Normal"/>
    <w:link w:val="SubtitleChar"/>
    <w:uiPriority w:val="11"/>
    <w:qFormat/>
    <w:pPr>
      <w:widowControl/>
      <w:spacing w:before="0" w:after="0"/>
      <w:jc w:val="center"/>
    </w:pPr>
    <w:rPr>
      <w:b/>
      <w:sz w:val="28"/>
      <w:szCs w:val="28"/>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 w:type="character" w:styleId="UnresolvedMention">
    <w:name w:val="Unresolved Mention"/>
    <w:basedOn w:val="DefaultParagraphFont"/>
    <w:uiPriority w:val="99"/>
    <w:semiHidden/>
    <w:unhideWhenUsed/>
    <w:rsid w:val="004254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ikis.ec.europa.eu/display/ExactExternalWiki/Annexes"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neighbourhood-enlargement/sites/near/files/visibility_requirements-near_english.pdf" TargetMode="External"/><Relationship Id="rId14" Type="http://schemas.openxmlformats.org/officeDocument/2006/relationships/hyperlink" Target="https://wikis.ec.europa.eu/display/ExactExternalWiki/Annexe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xhDsmTpzg3T0jn1aoY1iZs+hCg==">CgMxLjAyCGguZ2pkZ3hzMgloLjMwajB6bGwyCWguMWZvYjl0ZTgAciExTldSaDVqRS1jZWRXcmdrSWdITXhxaGhLLUJGbDBTVXc=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1496</Words>
  <Characters>8531</Characters>
  <Application>Microsoft Office Word</Application>
  <DocSecurity>0</DocSecurity>
  <Lines>71</Lines>
  <Paragraphs>20</Paragraphs>
  <ScaleCrop>false</ScaleCrop>
  <Company/>
  <LinksUpToDate>false</LinksUpToDate>
  <CharactersWithSpaces>10007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ramatje</dc:creator>
  <cp:lastModifiedBy>Admin</cp:lastModifiedBy>
  <cp:revision>4</cp:revision>
  <dcterms:created xsi:type="dcterms:W3CDTF">2023-07-05T10:29:00Z</dcterms:created>
  <dcterms:modified xsi:type="dcterms:W3CDTF">2023-08-15T12:14:00Z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